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8F" w:rsidRPr="005356E9" w:rsidRDefault="003113D5" w:rsidP="00642EB6">
      <w:pPr>
        <w:pStyle w:val="1"/>
        <w:spacing w:before="0" w:after="0"/>
        <w:jc w:val="left"/>
        <w:rPr>
          <w:rFonts w:ascii="黑体" w:eastAsia="黑体" w:hAnsi="黑体"/>
          <w:b w:val="0"/>
        </w:rPr>
      </w:pPr>
      <w:r w:rsidRPr="005356E9">
        <w:rPr>
          <w:rFonts w:ascii="黑体" w:eastAsia="黑体" w:hAnsi="黑体" w:cs="Times New Roman" w:hint="eastAsia"/>
          <w:b w:val="0"/>
          <w:sz w:val="32"/>
          <w:szCs w:val="32"/>
        </w:rPr>
        <w:t>附件</w:t>
      </w:r>
      <w:r w:rsidR="005356E9" w:rsidRPr="005356E9">
        <w:rPr>
          <w:rFonts w:ascii="黑体" w:eastAsia="黑体" w:hAnsi="黑体" w:cs="Times New Roman" w:hint="eastAsia"/>
          <w:b w:val="0"/>
          <w:sz w:val="32"/>
          <w:szCs w:val="32"/>
        </w:rPr>
        <w:t>3</w:t>
      </w:r>
    </w:p>
    <w:p w:rsidR="00C55933" w:rsidRPr="00C55933" w:rsidRDefault="00C55933" w:rsidP="00642EB6">
      <w:pPr>
        <w:widowControl/>
        <w:adjustRightInd w:val="0"/>
        <w:snapToGrid w:val="0"/>
        <w:spacing w:line="440" w:lineRule="exact"/>
        <w:jc w:val="center"/>
        <w:rPr>
          <w:rFonts w:ascii="方正小标宋简体" w:eastAsia="方正小标宋简体" w:hAnsi="方正小标宋简体" w:cs="方正小标宋简体"/>
          <w:color w:val="000000" w:themeColor="text1"/>
          <w:sz w:val="36"/>
          <w:szCs w:val="36"/>
        </w:rPr>
      </w:pPr>
      <w:r w:rsidRPr="00C55933">
        <w:rPr>
          <w:rFonts w:ascii="方正小标宋简体" w:eastAsia="方正小标宋简体" w:hAnsi="方正小标宋简体" w:cs="方正小标宋简体" w:hint="eastAsia"/>
          <w:color w:val="000000" w:themeColor="text1"/>
          <w:sz w:val="36"/>
          <w:szCs w:val="36"/>
        </w:rPr>
        <w:t>福建高速公路管制信息汇总表</w:t>
      </w:r>
    </w:p>
    <w:tbl>
      <w:tblPr>
        <w:tblStyle w:val="-11"/>
        <w:tblpPr w:leftFromText="180" w:rightFromText="180" w:vertAnchor="text" w:horzAnchor="page" w:tblpXSpec="center" w:tblpY="321"/>
        <w:tblW w:w="10085" w:type="dxa"/>
        <w:tblBorders>
          <w:insideH w:val="single" w:sz="8" w:space="0" w:color="5B9BD5" w:themeColor="accent1"/>
          <w:insideV w:val="single" w:sz="8" w:space="0" w:color="5B9BD5" w:themeColor="accent1"/>
        </w:tblBorders>
        <w:tblLayout w:type="fixed"/>
        <w:tblLook w:val="04A0"/>
      </w:tblPr>
      <w:tblGrid>
        <w:gridCol w:w="1013"/>
        <w:gridCol w:w="2551"/>
        <w:gridCol w:w="1843"/>
        <w:gridCol w:w="4678"/>
      </w:tblGrid>
      <w:tr w:rsidR="00642EB6" w:rsidTr="0009663B">
        <w:trPr>
          <w:cnfStyle w:val="100000000000"/>
          <w:trHeight w:val="941"/>
        </w:trPr>
        <w:tc>
          <w:tcPr>
            <w:cnfStyle w:val="001000000000"/>
            <w:tcW w:w="10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642EB6" w:rsidRPr="0009663B" w:rsidRDefault="00642EB6" w:rsidP="00642EB6">
            <w:pPr>
              <w:widowControl/>
              <w:jc w:val="center"/>
              <w:rPr>
                <w:rFonts w:ascii="仿宋_GB2312" w:eastAsia="仿宋_GB2312" w:hAnsi="仿宋_GB2312" w:cs="仿宋_GB2312" w:hint="eastAsia"/>
                <w:b w:val="0"/>
                <w:bCs w:val="0"/>
                <w:kern w:val="0"/>
                <w:sz w:val="28"/>
                <w:szCs w:val="28"/>
              </w:rPr>
            </w:pPr>
            <w:r w:rsidRPr="0009663B">
              <w:rPr>
                <w:rFonts w:ascii="仿宋_GB2312" w:eastAsia="仿宋_GB2312" w:hAnsi="仿宋_GB2312" w:cs="仿宋_GB2312" w:hint="eastAsia"/>
                <w:kern w:val="0"/>
                <w:sz w:val="28"/>
                <w:szCs w:val="28"/>
              </w:rPr>
              <w:t>地区</w:t>
            </w: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642EB6" w:rsidRPr="0009663B" w:rsidRDefault="00642EB6" w:rsidP="00642EB6">
            <w:pPr>
              <w:widowControl/>
              <w:jc w:val="center"/>
              <w:cnfStyle w:val="100000000000"/>
              <w:rPr>
                <w:rFonts w:ascii="仿宋_GB2312" w:eastAsia="仿宋_GB2312" w:hAnsi="仿宋_GB2312" w:cs="仿宋_GB2312" w:hint="eastAsia"/>
                <w:b w:val="0"/>
                <w:bCs w:val="0"/>
                <w:kern w:val="0"/>
                <w:sz w:val="28"/>
                <w:szCs w:val="28"/>
              </w:rPr>
            </w:pPr>
            <w:r w:rsidRPr="0009663B">
              <w:rPr>
                <w:rFonts w:ascii="仿宋_GB2312" w:eastAsia="仿宋_GB2312" w:hAnsi="仿宋_GB2312" w:cs="仿宋_GB2312" w:hint="eastAsia"/>
                <w:kern w:val="0"/>
                <w:sz w:val="28"/>
                <w:szCs w:val="28"/>
              </w:rPr>
              <w:t>事由/管制时间</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642EB6" w:rsidRPr="0009663B" w:rsidRDefault="00642EB6" w:rsidP="00642EB6">
            <w:pPr>
              <w:widowControl/>
              <w:jc w:val="center"/>
              <w:cnfStyle w:val="100000000000"/>
              <w:rPr>
                <w:rFonts w:ascii="仿宋_GB2312" w:eastAsia="仿宋_GB2312" w:hAnsi="仿宋_GB2312" w:cs="仿宋_GB2312" w:hint="eastAsia"/>
                <w:b w:val="0"/>
                <w:bCs w:val="0"/>
                <w:kern w:val="0"/>
                <w:sz w:val="28"/>
                <w:szCs w:val="28"/>
              </w:rPr>
            </w:pPr>
            <w:r w:rsidRPr="0009663B">
              <w:rPr>
                <w:rFonts w:ascii="仿宋_GB2312" w:eastAsia="仿宋_GB2312" w:hAnsi="仿宋_GB2312" w:cs="仿宋_GB2312" w:hint="eastAsia"/>
                <w:kern w:val="0"/>
                <w:sz w:val="28"/>
                <w:szCs w:val="28"/>
              </w:rPr>
              <w:t>管制路段</w:t>
            </w:r>
          </w:p>
        </w:tc>
        <w:tc>
          <w:tcPr>
            <w:tcW w:w="46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642EB6" w:rsidRPr="0009663B" w:rsidRDefault="00642EB6" w:rsidP="00642EB6">
            <w:pPr>
              <w:widowControl/>
              <w:jc w:val="center"/>
              <w:cnfStyle w:val="100000000000"/>
              <w:rPr>
                <w:rFonts w:ascii="仿宋_GB2312" w:eastAsia="仿宋_GB2312" w:hAnsi="仿宋_GB2312" w:cs="仿宋_GB2312" w:hint="eastAsia"/>
                <w:b w:val="0"/>
                <w:bCs w:val="0"/>
                <w:kern w:val="0"/>
                <w:sz w:val="28"/>
                <w:szCs w:val="28"/>
              </w:rPr>
            </w:pPr>
            <w:r w:rsidRPr="0009663B">
              <w:rPr>
                <w:rFonts w:ascii="仿宋_GB2312" w:eastAsia="仿宋_GB2312" w:hAnsi="仿宋_GB2312" w:cs="仿宋_GB2312" w:hint="eastAsia"/>
                <w:kern w:val="0"/>
                <w:sz w:val="28"/>
                <w:szCs w:val="28"/>
              </w:rPr>
              <w:t>绕行方案</w:t>
            </w:r>
          </w:p>
        </w:tc>
      </w:tr>
      <w:tr w:rsidR="00642EB6" w:rsidTr="0009663B">
        <w:trPr>
          <w:cnfStyle w:val="000000100000"/>
          <w:trHeight w:hRule="exact" w:val="2465"/>
        </w:trPr>
        <w:tc>
          <w:tcPr>
            <w:cnfStyle w:val="001000000000"/>
            <w:tcW w:w="1013" w:type="dxa"/>
            <w:tcBorders>
              <w:top w:val="single" w:sz="8" w:space="0" w:color="FFFFFF" w:themeColor="background1"/>
              <w:left w:val="none" w:sz="0" w:space="0" w:color="auto"/>
              <w:bottom w:val="none" w:sz="0" w:space="0" w:color="auto"/>
            </w:tcBorders>
            <w:vAlign w:val="center"/>
          </w:tcPr>
          <w:p w:rsidR="00642EB6" w:rsidRPr="0009663B" w:rsidRDefault="00642EB6" w:rsidP="00642EB6">
            <w:pPr>
              <w:widowControl/>
              <w:adjustRightInd w:val="0"/>
              <w:snapToGrid w:val="0"/>
              <w:jc w:val="center"/>
              <w:rPr>
                <w:rFonts w:ascii="仿宋_GB2312" w:eastAsia="仿宋_GB2312" w:hAnsi="仿宋_GB2312" w:cs="仿宋_GB2312" w:hint="eastAsia"/>
                <w:color w:val="262626" w:themeColor="text1" w:themeTint="D9"/>
                <w:kern w:val="0"/>
                <w:sz w:val="24"/>
              </w:rPr>
            </w:pPr>
            <w:r w:rsidRPr="0009663B">
              <w:rPr>
                <w:rFonts w:ascii="仿宋_GB2312" w:eastAsia="仿宋_GB2312" w:hAnsi="宋体" w:cs="宋体" w:hint="eastAsia"/>
                <w:color w:val="262626" w:themeColor="text1" w:themeTint="D9"/>
                <w:kern w:val="0"/>
                <w:szCs w:val="21"/>
              </w:rPr>
              <w:t>漳州</w:t>
            </w:r>
          </w:p>
        </w:tc>
        <w:tc>
          <w:tcPr>
            <w:tcW w:w="2551" w:type="dxa"/>
            <w:tcBorders>
              <w:top w:val="single" w:sz="8" w:space="0" w:color="FFFFFF" w:themeColor="background1"/>
              <w:bottom w:val="none" w:sz="0" w:space="0" w:color="auto"/>
            </w:tcBorders>
            <w:vAlign w:val="center"/>
          </w:tcPr>
          <w:p w:rsidR="00642EB6" w:rsidRPr="0009663B" w:rsidRDefault="00642EB6" w:rsidP="00642EB6">
            <w:pPr>
              <w:widowControl/>
              <w:adjustRightInd w:val="0"/>
              <w:snapToGrid w:val="0"/>
              <w:cnfStyle w:val="0000001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施工/2022年7月14日0时至2025年7月1日24时</w:t>
            </w:r>
          </w:p>
        </w:tc>
        <w:tc>
          <w:tcPr>
            <w:tcW w:w="1843" w:type="dxa"/>
            <w:tcBorders>
              <w:top w:val="single" w:sz="8" w:space="0" w:color="FFFFFF" w:themeColor="background1"/>
              <w:bottom w:val="none" w:sz="0" w:space="0" w:color="auto"/>
            </w:tcBorders>
            <w:vAlign w:val="center"/>
          </w:tcPr>
          <w:p w:rsidR="00642EB6" w:rsidRPr="0009663B" w:rsidRDefault="00642EB6" w:rsidP="00642EB6">
            <w:pPr>
              <w:widowControl/>
              <w:adjustRightInd w:val="0"/>
              <w:snapToGrid w:val="0"/>
              <w:cnfStyle w:val="000000100000"/>
              <w:rPr>
                <w:rFonts w:ascii="仿宋_GB2312" w:eastAsia="仿宋_GB2312" w:hAnsi="仿宋_GB2312" w:cs="仿宋_GB2312" w:hint="eastAsia"/>
                <w:color w:val="262626" w:themeColor="text1" w:themeTint="D9"/>
                <w:kern w:val="0"/>
                <w:sz w:val="24"/>
              </w:rPr>
            </w:pPr>
            <w:r w:rsidRPr="0009663B">
              <w:rPr>
                <w:rFonts w:ascii="仿宋_GB2312" w:eastAsia="仿宋_GB2312" w:hAnsi="宋体" w:cs="宋体" w:hint="eastAsia"/>
                <w:color w:val="262626" w:themeColor="text1" w:themeTint="D9"/>
                <w:kern w:val="0"/>
                <w:szCs w:val="21"/>
              </w:rPr>
              <w:t>沈海高速漳州互通至龙海互通主线A、B道</w:t>
            </w:r>
          </w:p>
        </w:tc>
        <w:tc>
          <w:tcPr>
            <w:tcW w:w="4678" w:type="dxa"/>
            <w:tcBorders>
              <w:top w:val="single" w:sz="8" w:space="0" w:color="FFFFFF" w:themeColor="background1"/>
              <w:bottom w:val="none" w:sz="0" w:space="0" w:color="auto"/>
              <w:right w:val="none" w:sz="0" w:space="0" w:color="auto"/>
            </w:tcBorders>
            <w:vAlign w:val="center"/>
          </w:tcPr>
          <w:p w:rsidR="00642EB6" w:rsidRPr="0009663B" w:rsidRDefault="00642EB6" w:rsidP="0009663B">
            <w:pPr>
              <w:widowControl/>
              <w:adjustRightInd w:val="0"/>
              <w:snapToGrid w:val="0"/>
              <w:ind w:firstLineChars="200" w:firstLine="420"/>
              <w:cnfStyle w:val="0000001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1.广东、漳浦、漳州开发区方向来车往漳州市区、龙岩的车辆请从漳武高速绕行；2.龙岩方向来车往广东、龙海的车辆请从甬莞高速、漳武高速绕行；</w:t>
            </w:r>
          </w:p>
          <w:p w:rsidR="00642EB6" w:rsidRPr="0009663B" w:rsidRDefault="00642EB6" w:rsidP="0009663B">
            <w:pPr>
              <w:widowControl/>
              <w:adjustRightInd w:val="0"/>
              <w:snapToGrid w:val="0"/>
              <w:ind w:firstLineChars="200" w:firstLine="420"/>
              <w:cnfStyle w:val="0000001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3.厦门方向来车往龙海的车辆请从紫泥高速绕行或从同城大道、厦漳大桥绕行；</w:t>
            </w:r>
          </w:p>
          <w:p w:rsidR="00642EB6" w:rsidRPr="0009663B" w:rsidRDefault="00642EB6" w:rsidP="0009663B">
            <w:pPr>
              <w:widowControl/>
              <w:adjustRightInd w:val="0"/>
              <w:snapToGrid w:val="0"/>
              <w:ind w:firstLineChars="200" w:firstLine="420"/>
              <w:cnfStyle w:val="000000100000"/>
              <w:rPr>
                <w:rFonts w:ascii="仿宋_GB2312" w:eastAsia="仿宋_GB2312" w:hAnsi="仿宋_GB2312" w:cs="仿宋_GB2312" w:hint="eastAsia"/>
                <w:color w:val="262626" w:themeColor="text1" w:themeTint="D9"/>
                <w:kern w:val="0"/>
                <w:sz w:val="24"/>
              </w:rPr>
            </w:pPr>
            <w:r w:rsidRPr="0009663B">
              <w:rPr>
                <w:rFonts w:ascii="仿宋_GB2312" w:eastAsia="仿宋_GB2312" w:hAnsi="宋体" w:cs="宋体" w:hint="eastAsia"/>
                <w:color w:val="262626" w:themeColor="text1" w:themeTint="D9"/>
                <w:kern w:val="0"/>
                <w:szCs w:val="21"/>
              </w:rPr>
              <w:t>4.龙海往漳州、厦门的车辆及漳州往龙海的车辆请从同城大道绕行。</w:t>
            </w:r>
          </w:p>
        </w:tc>
      </w:tr>
      <w:tr w:rsidR="00642EB6" w:rsidTr="0009663B">
        <w:trPr>
          <w:trHeight w:hRule="exact" w:val="4525"/>
        </w:trPr>
        <w:tc>
          <w:tcPr>
            <w:cnfStyle w:val="001000000000"/>
            <w:tcW w:w="1013" w:type="dxa"/>
            <w:tcBorders>
              <w:bottom w:val="single" w:sz="8" w:space="0" w:color="5B9BD5" w:themeColor="accent1"/>
            </w:tcBorders>
            <w:vAlign w:val="center"/>
          </w:tcPr>
          <w:p w:rsidR="00642EB6" w:rsidRPr="0009663B" w:rsidRDefault="00642EB6" w:rsidP="00642EB6">
            <w:pPr>
              <w:widowControl/>
              <w:adjustRightInd w:val="0"/>
              <w:snapToGrid w:val="0"/>
              <w:jc w:val="center"/>
              <w:rPr>
                <w:rFonts w:ascii="仿宋_GB2312" w:eastAsia="仿宋_GB2312" w:hAnsi="仿宋_GB2312" w:cs="仿宋_GB2312" w:hint="eastAsia"/>
                <w:color w:val="262626" w:themeColor="text1" w:themeTint="D9"/>
                <w:kern w:val="0"/>
                <w:sz w:val="24"/>
              </w:rPr>
            </w:pPr>
            <w:r w:rsidRPr="0009663B">
              <w:rPr>
                <w:rFonts w:ascii="仿宋_GB2312" w:eastAsia="仿宋_GB2312" w:hAnsi="宋体" w:cs="宋体" w:hint="eastAsia"/>
                <w:color w:val="262626" w:themeColor="text1" w:themeTint="D9"/>
                <w:kern w:val="0"/>
                <w:szCs w:val="21"/>
              </w:rPr>
              <w:t>泉州</w:t>
            </w:r>
          </w:p>
        </w:tc>
        <w:tc>
          <w:tcPr>
            <w:tcW w:w="2551" w:type="dxa"/>
            <w:tcBorders>
              <w:bottom w:val="single" w:sz="8" w:space="0" w:color="5B9BD5" w:themeColor="accent1"/>
            </w:tcBorders>
            <w:vAlign w:val="center"/>
          </w:tcPr>
          <w:p w:rsidR="00642EB6" w:rsidRPr="0009663B" w:rsidRDefault="00642EB6" w:rsidP="00642EB6">
            <w:pPr>
              <w:widowControl/>
              <w:adjustRightInd w:val="0"/>
              <w:snapToGrid w:val="0"/>
              <w:cnfStyle w:val="000000000000"/>
              <w:rPr>
                <w:rFonts w:ascii="仿宋_GB2312" w:eastAsia="仿宋_GB2312" w:hAnsi="仿宋_GB2312" w:cs="仿宋_GB2312" w:hint="eastAsia"/>
                <w:color w:val="262626" w:themeColor="text1" w:themeTint="D9"/>
                <w:kern w:val="0"/>
                <w:sz w:val="24"/>
              </w:rPr>
            </w:pPr>
            <w:r w:rsidRPr="0009663B">
              <w:rPr>
                <w:rFonts w:ascii="仿宋_GB2312" w:eastAsia="仿宋_GB2312" w:hAnsi="宋体" w:cs="宋体" w:hint="eastAsia"/>
                <w:color w:val="262626" w:themeColor="text1" w:themeTint="D9"/>
                <w:kern w:val="0"/>
                <w:szCs w:val="21"/>
              </w:rPr>
              <w:t>施工/2023年2月21日至6月30日</w:t>
            </w:r>
          </w:p>
        </w:tc>
        <w:tc>
          <w:tcPr>
            <w:tcW w:w="1843" w:type="dxa"/>
            <w:tcBorders>
              <w:bottom w:val="single" w:sz="8" w:space="0" w:color="5B9BD5" w:themeColor="accent1"/>
            </w:tcBorders>
            <w:vAlign w:val="center"/>
          </w:tcPr>
          <w:p w:rsidR="00642EB6" w:rsidRPr="0009663B" w:rsidRDefault="00642EB6" w:rsidP="00642EB6">
            <w:pPr>
              <w:widowControl/>
              <w:adjustRightInd w:val="0"/>
              <w:snapToGrid w:val="0"/>
              <w:cnfStyle w:val="000000000000"/>
              <w:rPr>
                <w:rFonts w:ascii="仿宋_GB2312" w:eastAsia="仿宋_GB2312" w:hAnsi="仿宋_GB2312" w:cs="仿宋_GB2312" w:hint="eastAsia"/>
                <w:color w:val="262626" w:themeColor="text1" w:themeTint="D9"/>
                <w:kern w:val="0"/>
                <w:sz w:val="24"/>
              </w:rPr>
            </w:pPr>
            <w:r w:rsidRPr="0009663B">
              <w:rPr>
                <w:rFonts w:ascii="仿宋_GB2312" w:eastAsia="仿宋_GB2312" w:hAnsi="宋体" w:cs="宋体" w:hint="eastAsia"/>
                <w:color w:val="262626" w:themeColor="text1" w:themeTint="D9"/>
                <w:kern w:val="0"/>
                <w:szCs w:val="21"/>
              </w:rPr>
              <w:t>泉南高速公路永春互通至汤城枢纽</w:t>
            </w:r>
          </w:p>
        </w:tc>
        <w:tc>
          <w:tcPr>
            <w:tcW w:w="4678" w:type="dxa"/>
            <w:tcBorders>
              <w:bottom w:val="single" w:sz="8" w:space="0" w:color="5B9BD5" w:themeColor="accent1"/>
            </w:tcBorders>
            <w:vAlign w:val="center"/>
          </w:tcPr>
          <w:p w:rsidR="00642EB6" w:rsidRPr="0009663B" w:rsidRDefault="00642EB6" w:rsidP="0009663B">
            <w:pPr>
              <w:widowControl/>
              <w:adjustRightInd w:val="0"/>
              <w:snapToGrid w:val="0"/>
              <w:ind w:firstLineChars="200" w:firstLine="420"/>
              <w:cnfStyle w:val="0000000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1.泉南高速（下行）达埔服务区主线管制，三明（永安）往泉州方向的车辆短暂停留服务区或提前从蓬壶收费所下高速至永春东收费所上高速。</w:t>
            </w:r>
          </w:p>
          <w:p w:rsidR="00642EB6" w:rsidRPr="0009663B" w:rsidRDefault="00642EB6" w:rsidP="0009663B">
            <w:pPr>
              <w:widowControl/>
              <w:adjustRightInd w:val="0"/>
              <w:snapToGrid w:val="0"/>
              <w:ind w:firstLineChars="200" w:firstLine="420"/>
              <w:cnfStyle w:val="0000000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2.沙厦高速（上行）德化收费所主线分流，三明（尤溪）往泉州方向的车辆由德化收费所下高速，绕行国省道从永春东收费所或下洋收费所上高速。</w:t>
            </w:r>
          </w:p>
          <w:p w:rsidR="00642EB6" w:rsidRPr="0009663B" w:rsidRDefault="00642EB6" w:rsidP="0009663B">
            <w:pPr>
              <w:widowControl/>
              <w:adjustRightInd w:val="0"/>
              <w:snapToGrid w:val="0"/>
              <w:ind w:firstLineChars="200" w:firstLine="420"/>
              <w:cnfStyle w:val="0000000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3.泉南高速（下行）达埔服务区主线管制、沙厦高速（上行）德化收费所主线分流期间，德化入口、蓬壶入口同时采取管制。</w:t>
            </w:r>
          </w:p>
          <w:p w:rsidR="00642EB6" w:rsidRPr="0009663B" w:rsidRDefault="00642EB6" w:rsidP="0009663B">
            <w:pPr>
              <w:widowControl/>
              <w:adjustRightInd w:val="0"/>
              <w:snapToGrid w:val="0"/>
              <w:ind w:firstLineChars="200" w:firstLine="420"/>
              <w:cnfStyle w:val="0000000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4.政永高速、沙厦高速（下行）岩峰枢纽往泉州方向匝道管制，龙岩（安溪）往泉州、福州方向的车辆提前从湖头收费所下高速或者绕行至蓬壶收费所下高速，绕行国道至永春东收费所上高速。</w:t>
            </w:r>
          </w:p>
          <w:p w:rsidR="00642EB6" w:rsidRPr="0009663B" w:rsidRDefault="00642EB6" w:rsidP="00642EB6">
            <w:pPr>
              <w:widowControl/>
              <w:adjustRightInd w:val="0"/>
              <w:snapToGrid w:val="0"/>
              <w:cnfStyle w:val="000000000000"/>
              <w:rPr>
                <w:rFonts w:ascii="仿宋_GB2312" w:eastAsia="仿宋_GB2312" w:hAnsi="仿宋_GB2312" w:cs="仿宋_GB2312" w:hint="eastAsia"/>
                <w:color w:val="262626" w:themeColor="text1" w:themeTint="D9"/>
                <w:kern w:val="0"/>
                <w:sz w:val="24"/>
              </w:rPr>
            </w:pPr>
          </w:p>
        </w:tc>
      </w:tr>
      <w:tr w:rsidR="00642EB6" w:rsidTr="0009663B">
        <w:trPr>
          <w:cnfStyle w:val="000000100000"/>
          <w:trHeight w:hRule="exact" w:val="1916"/>
        </w:trPr>
        <w:tc>
          <w:tcPr>
            <w:cnfStyle w:val="001000000000"/>
            <w:tcW w:w="1013" w:type="dxa"/>
            <w:tcBorders>
              <w:top w:val="none" w:sz="0" w:space="0" w:color="auto"/>
              <w:left w:val="none" w:sz="0" w:space="0" w:color="auto"/>
            </w:tcBorders>
            <w:vAlign w:val="center"/>
          </w:tcPr>
          <w:p w:rsidR="00642EB6" w:rsidRPr="0009663B" w:rsidRDefault="00642EB6" w:rsidP="00642EB6">
            <w:pPr>
              <w:widowControl/>
              <w:adjustRightInd w:val="0"/>
              <w:snapToGrid w:val="0"/>
              <w:jc w:val="center"/>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福州</w:t>
            </w:r>
          </w:p>
        </w:tc>
        <w:tc>
          <w:tcPr>
            <w:tcW w:w="2551" w:type="dxa"/>
            <w:tcBorders>
              <w:top w:val="none" w:sz="0" w:space="0" w:color="auto"/>
            </w:tcBorders>
            <w:vAlign w:val="center"/>
          </w:tcPr>
          <w:p w:rsidR="00642EB6" w:rsidRPr="0009663B" w:rsidRDefault="00642EB6" w:rsidP="00642EB6">
            <w:pPr>
              <w:widowControl/>
              <w:adjustRightInd w:val="0"/>
              <w:snapToGrid w:val="0"/>
              <w:cnfStyle w:val="0000001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施工/2023年3月21日至2023年9月15日</w:t>
            </w:r>
          </w:p>
        </w:tc>
        <w:tc>
          <w:tcPr>
            <w:tcW w:w="1843" w:type="dxa"/>
            <w:tcBorders>
              <w:top w:val="none" w:sz="0" w:space="0" w:color="auto"/>
            </w:tcBorders>
            <w:vAlign w:val="center"/>
          </w:tcPr>
          <w:p w:rsidR="00642EB6" w:rsidRPr="0009663B" w:rsidRDefault="00642EB6" w:rsidP="00642EB6">
            <w:pPr>
              <w:widowControl/>
              <w:adjustRightInd w:val="0"/>
              <w:snapToGrid w:val="0"/>
              <w:cnfStyle w:val="0000001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甬莞高速透堡服务区路段（593公里至597公里）A、B道轮流封闭施工</w:t>
            </w:r>
          </w:p>
        </w:tc>
        <w:tc>
          <w:tcPr>
            <w:tcW w:w="4678" w:type="dxa"/>
            <w:tcBorders>
              <w:top w:val="none" w:sz="0" w:space="0" w:color="auto"/>
              <w:right w:val="none" w:sz="0" w:space="0" w:color="auto"/>
            </w:tcBorders>
            <w:vAlign w:val="center"/>
          </w:tcPr>
          <w:p w:rsidR="00642EB6" w:rsidRPr="0009663B" w:rsidRDefault="00642EB6" w:rsidP="0009663B">
            <w:pPr>
              <w:widowControl/>
              <w:adjustRightInd w:val="0"/>
              <w:snapToGrid w:val="0"/>
              <w:ind w:firstLineChars="200" w:firstLine="420"/>
              <w:cnfStyle w:val="000000100000"/>
              <w:rPr>
                <w:rFonts w:ascii="仿宋_GB2312" w:eastAsia="仿宋_GB2312" w:hAnsi="宋体" w:cs="宋体" w:hint="eastAsia"/>
                <w:color w:val="262626" w:themeColor="text1" w:themeTint="D9"/>
                <w:kern w:val="0"/>
                <w:szCs w:val="21"/>
              </w:rPr>
            </w:pPr>
            <w:r w:rsidRPr="0009663B">
              <w:rPr>
                <w:rFonts w:ascii="仿宋_GB2312" w:eastAsia="仿宋_GB2312" w:hAnsi="宋体" w:cs="宋体" w:hint="eastAsia"/>
                <w:color w:val="262626" w:themeColor="text1" w:themeTint="D9"/>
                <w:kern w:val="0"/>
                <w:szCs w:val="21"/>
              </w:rPr>
              <w:t>施工期间单侧车道全封闭施工，禁止车辆通行，另一侧未封闭车道改为单道双向通行。封闭马鼻收费站往福州方向匝道，封闭罗源湾收费站往福州方向匝道，封闭</w:t>
            </w:r>
            <w:r w:rsidRPr="0009663B">
              <w:rPr>
                <w:rFonts w:ascii="仿宋_GB2312" w:hAnsi="宋体" w:cs="宋体" w:hint="eastAsia"/>
                <w:color w:val="262626" w:themeColor="text1" w:themeTint="D9"/>
                <w:kern w:val="0"/>
                <w:szCs w:val="21"/>
              </w:rPr>
              <w:t>琯</w:t>
            </w:r>
            <w:r w:rsidRPr="0009663B">
              <w:rPr>
                <w:rFonts w:ascii="仿宋_GB2312" w:eastAsia="仿宋_GB2312" w:hAnsi="宋体" w:cs="宋体" w:hint="eastAsia"/>
                <w:color w:val="262626" w:themeColor="text1" w:themeTint="D9"/>
                <w:kern w:val="0"/>
                <w:szCs w:val="21"/>
              </w:rPr>
              <w:t>头东收费站往宁德方向匝道，封闭洋门枢纽桂湖往浦口、马鼻方向车道。</w:t>
            </w:r>
          </w:p>
          <w:p w:rsidR="00642EB6" w:rsidRPr="0009663B" w:rsidRDefault="00642EB6" w:rsidP="00642EB6">
            <w:pPr>
              <w:widowControl/>
              <w:adjustRightInd w:val="0"/>
              <w:snapToGrid w:val="0"/>
              <w:cnfStyle w:val="000000100000"/>
              <w:rPr>
                <w:rFonts w:ascii="仿宋_GB2312" w:eastAsia="仿宋_GB2312" w:hAnsi="仿宋_GB2312" w:cs="仿宋_GB2312" w:hint="eastAsia"/>
                <w:color w:val="262626" w:themeColor="text1" w:themeTint="D9"/>
                <w:kern w:val="0"/>
                <w:sz w:val="24"/>
              </w:rPr>
            </w:pPr>
          </w:p>
        </w:tc>
      </w:tr>
      <w:tr w:rsidR="0009663B" w:rsidTr="0009663B">
        <w:trPr>
          <w:trHeight w:hRule="exact" w:val="1916"/>
        </w:trPr>
        <w:tc>
          <w:tcPr>
            <w:cnfStyle w:val="001000000000"/>
            <w:tcW w:w="1013" w:type="dxa"/>
            <w:tcBorders>
              <w:left w:val="nil"/>
              <w:bottom w:val="nil"/>
              <w:right w:val="nil"/>
            </w:tcBorders>
            <w:vAlign w:val="center"/>
          </w:tcPr>
          <w:p w:rsidR="0009663B" w:rsidRPr="0009663B" w:rsidRDefault="0009663B" w:rsidP="00642EB6">
            <w:pPr>
              <w:widowControl/>
              <w:adjustRightInd w:val="0"/>
              <w:snapToGrid w:val="0"/>
              <w:jc w:val="center"/>
              <w:rPr>
                <w:rFonts w:ascii="仿宋_GB2312" w:eastAsia="仿宋_GB2312" w:hAnsi="宋体" w:cs="宋体" w:hint="eastAsia"/>
                <w:color w:val="262626" w:themeColor="text1" w:themeTint="D9"/>
                <w:kern w:val="0"/>
                <w:szCs w:val="21"/>
              </w:rPr>
            </w:pPr>
          </w:p>
        </w:tc>
        <w:tc>
          <w:tcPr>
            <w:tcW w:w="2551" w:type="dxa"/>
            <w:tcBorders>
              <w:left w:val="nil"/>
              <w:bottom w:val="nil"/>
              <w:right w:val="nil"/>
            </w:tcBorders>
            <w:vAlign w:val="center"/>
          </w:tcPr>
          <w:p w:rsidR="0009663B" w:rsidRPr="0009663B" w:rsidRDefault="0009663B" w:rsidP="00642EB6">
            <w:pPr>
              <w:widowControl/>
              <w:adjustRightInd w:val="0"/>
              <w:snapToGrid w:val="0"/>
              <w:cnfStyle w:val="000000000000"/>
              <w:rPr>
                <w:rFonts w:ascii="仿宋_GB2312" w:eastAsia="仿宋_GB2312" w:hAnsi="宋体" w:cs="宋体" w:hint="eastAsia"/>
                <w:color w:val="262626" w:themeColor="text1" w:themeTint="D9"/>
                <w:kern w:val="0"/>
                <w:szCs w:val="21"/>
              </w:rPr>
            </w:pPr>
          </w:p>
        </w:tc>
        <w:tc>
          <w:tcPr>
            <w:tcW w:w="1843" w:type="dxa"/>
            <w:tcBorders>
              <w:left w:val="nil"/>
              <w:bottom w:val="nil"/>
              <w:right w:val="nil"/>
            </w:tcBorders>
            <w:vAlign w:val="center"/>
          </w:tcPr>
          <w:p w:rsidR="0009663B" w:rsidRPr="0009663B" w:rsidRDefault="0009663B" w:rsidP="00642EB6">
            <w:pPr>
              <w:widowControl/>
              <w:adjustRightInd w:val="0"/>
              <w:snapToGrid w:val="0"/>
              <w:cnfStyle w:val="000000000000"/>
              <w:rPr>
                <w:rFonts w:ascii="仿宋_GB2312" w:eastAsia="仿宋_GB2312" w:hAnsi="宋体" w:cs="宋体" w:hint="eastAsia"/>
                <w:color w:val="262626" w:themeColor="text1" w:themeTint="D9"/>
                <w:kern w:val="0"/>
                <w:szCs w:val="21"/>
              </w:rPr>
            </w:pPr>
          </w:p>
        </w:tc>
        <w:tc>
          <w:tcPr>
            <w:tcW w:w="4678" w:type="dxa"/>
            <w:tcBorders>
              <w:left w:val="nil"/>
              <w:bottom w:val="nil"/>
              <w:right w:val="nil"/>
            </w:tcBorders>
            <w:vAlign w:val="center"/>
          </w:tcPr>
          <w:p w:rsidR="0009663B" w:rsidRPr="0009663B" w:rsidRDefault="0009663B" w:rsidP="0009663B">
            <w:pPr>
              <w:widowControl/>
              <w:adjustRightInd w:val="0"/>
              <w:snapToGrid w:val="0"/>
              <w:ind w:firstLineChars="200" w:firstLine="420"/>
              <w:cnfStyle w:val="000000000000"/>
              <w:rPr>
                <w:rFonts w:ascii="仿宋_GB2312" w:eastAsia="仿宋_GB2312" w:hAnsi="宋体" w:cs="宋体" w:hint="eastAsia"/>
                <w:color w:val="262626" w:themeColor="text1" w:themeTint="D9"/>
                <w:kern w:val="0"/>
                <w:szCs w:val="21"/>
              </w:rPr>
            </w:pPr>
          </w:p>
        </w:tc>
      </w:tr>
    </w:tbl>
    <w:p w:rsidR="00F4138F" w:rsidRDefault="00F4138F"/>
    <w:sectPr w:rsidR="00F4138F" w:rsidSect="00642EB6">
      <w:pgSz w:w="11906" w:h="16838"/>
      <w:pgMar w:top="1418" w:right="737" w:bottom="1418" w:left="737" w:header="567"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D1" w:rsidRDefault="00CB48D1" w:rsidP="00697708">
      <w:r>
        <w:separator/>
      </w:r>
    </w:p>
  </w:endnote>
  <w:endnote w:type="continuationSeparator" w:id="1">
    <w:p w:rsidR="00CB48D1" w:rsidRDefault="00CB48D1" w:rsidP="00697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D1" w:rsidRDefault="00CB48D1" w:rsidP="00697708">
      <w:r>
        <w:separator/>
      </w:r>
    </w:p>
  </w:footnote>
  <w:footnote w:type="continuationSeparator" w:id="1">
    <w:p w:rsidR="00CB48D1" w:rsidRDefault="00CB48D1" w:rsidP="00697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84EA8D"/>
    <w:multiLevelType w:val="singleLevel"/>
    <w:tmpl w:val="8F84EA8D"/>
    <w:lvl w:ilvl="0">
      <w:start w:val="1"/>
      <w:numFmt w:val="decimal"/>
      <w:lvlText w:val="%1."/>
      <w:lvlJc w:val="left"/>
      <w:pPr>
        <w:tabs>
          <w:tab w:val="left" w:pos="312"/>
        </w:tabs>
      </w:pPr>
    </w:lvl>
  </w:abstractNum>
  <w:abstractNum w:abstractNumId="1">
    <w:nsid w:val="E9191C5B"/>
    <w:multiLevelType w:val="singleLevel"/>
    <w:tmpl w:val="31968FFA"/>
    <w:lvl w:ilvl="0">
      <w:start w:val="1"/>
      <w:numFmt w:val="chineseCounting"/>
      <w:suff w:val="nothing"/>
      <w:lvlText w:val="（%1）"/>
      <w:lvlJc w:val="left"/>
      <w:rPr>
        <w:rFonts w:hint="eastAsia"/>
        <w:lang w:val="en-US"/>
      </w:rPr>
    </w:lvl>
  </w:abstractNum>
  <w:abstractNum w:abstractNumId="2">
    <w:nsid w:val="36298DAE"/>
    <w:multiLevelType w:val="singleLevel"/>
    <w:tmpl w:val="36298DAE"/>
    <w:lvl w:ilvl="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7D91"/>
    <w:rsid w:val="0009663B"/>
    <w:rsid w:val="000F4C5D"/>
    <w:rsid w:val="001061D2"/>
    <w:rsid w:val="001170EE"/>
    <w:rsid w:val="00122CA2"/>
    <w:rsid w:val="00143FB7"/>
    <w:rsid w:val="00172A27"/>
    <w:rsid w:val="00196B6B"/>
    <w:rsid w:val="001D38CE"/>
    <w:rsid w:val="00272A89"/>
    <w:rsid w:val="003113D5"/>
    <w:rsid w:val="003B7F59"/>
    <w:rsid w:val="003C1CA1"/>
    <w:rsid w:val="00453D88"/>
    <w:rsid w:val="005356E9"/>
    <w:rsid w:val="005375CA"/>
    <w:rsid w:val="005A1C05"/>
    <w:rsid w:val="00642EB6"/>
    <w:rsid w:val="006812F8"/>
    <w:rsid w:val="00681A69"/>
    <w:rsid w:val="00697708"/>
    <w:rsid w:val="00871C9E"/>
    <w:rsid w:val="00A965CA"/>
    <w:rsid w:val="00C55933"/>
    <w:rsid w:val="00C56D40"/>
    <w:rsid w:val="00CB48D1"/>
    <w:rsid w:val="00CF2867"/>
    <w:rsid w:val="00D23C6A"/>
    <w:rsid w:val="00D415AA"/>
    <w:rsid w:val="00D5426A"/>
    <w:rsid w:val="00DE01A0"/>
    <w:rsid w:val="00E0629C"/>
    <w:rsid w:val="00EB185C"/>
    <w:rsid w:val="00ED5BAC"/>
    <w:rsid w:val="00F4138F"/>
    <w:rsid w:val="00F97799"/>
    <w:rsid w:val="00FC7929"/>
    <w:rsid w:val="01663E20"/>
    <w:rsid w:val="01A86493"/>
    <w:rsid w:val="037244F6"/>
    <w:rsid w:val="04712AF5"/>
    <w:rsid w:val="049421FC"/>
    <w:rsid w:val="08B962E9"/>
    <w:rsid w:val="097D6C6E"/>
    <w:rsid w:val="09FF1C8F"/>
    <w:rsid w:val="0B884686"/>
    <w:rsid w:val="0BE94BAF"/>
    <w:rsid w:val="0CE75FED"/>
    <w:rsid w:val="10A910B8"/>
    <w:rsid w:val="166E6E75"/>
    <w:rsid w:val="16FB356D"/>
    <w:rsid w:val="17F157CD"/>
    <w:rsid w:val="1D136104"/>
    <w:rsid w:val="1DC167A8"/>
    <w:rsid w:val="1E883119"/>
    <w:rsid w:val="22941B1C"/>
    <w:rsid w:val="25BA07CC"/>
    <w:rsid w:val="2B5F1D7E"/>
    <w:rsid w:val="2C137A5F"/>
    <w:rsid w:val="2C88039F"/>
    <w:rsid w:val="2E7856F7"/>
    <w:rsid w:val="34F35995"/>
    <w:rsid w:val="35243842"/>
    <w:rsid w:val="35E455AE"/>
    <w:rsid w:val="38F618FE"/>
    <w:rsid w:val="39943212"/>
    <w:rsid w:val="3DB15382"/>
    <w:rsid w:val="3EA462D3"/>
    <w:rsid w:val="40BB24F4"/>
    <w:rsid w:val="423D296B"/>
    <w:rsid w:val="47243D3C"/>
    <w:rsid w:val="485A6005"/>
    <w:rsid w:val="4EE3090B"/>
    <w:rsid w:val="4F1253A6"/>
    <w:rsid w:val="4FC1713E"/>
    <w:rsid w:val="524E6AB2"/>
    <w:rsid w:val="564C5A25"/>
    <w:rsid w:val="56C112C7"/>
    <w:rsid w:val="577D284E"/>
    <w:rsid w:val="591E1894"/>
    <w:rsid w:val="59C95845"/>
    <w:rsid w:val="651749F7"/>
    <w:rsid w:val="661B2E48"/>
    <w:rsid w:val="66434E1E"/>
    <w:rsid w:val="6C387876"/>
    <w:rsid w:val="6E5B352E"/>
    <w:rsid w:val="74380382"/>
    <w:rsid w:val="74A11FF7"/>
    <w:rsid w:val="751D1C1D"/>
    <w:rsid w:val="75787371"/>
    <w:rsid w:val="767C128D"/>
    <w:rsid w:val="769E0049"/>
    <w:rsid w:val="79767D04"/>
    <w:rsid w:val="7C4C0A16"/>
    <w:rsid w:val="7CD11B27"/>
    <w:rsid w:val="7D017A31"/>
    <w:rsid w:val="7DF451E7"/>
    <w:rsid w:val="7F274CF6"/>
    <w:rsid w:val="7F9962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4138F"/>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9"/>
    <w:qFormat/>
    <w:rsid w:val="00F4138F"/>
    <w:pPr>
      <w:keepNext/>
      <w:keepLines/>
      <w:spacing w:before="340" w:after="330" w:line="576" w:lineRule="auto"/>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next w:val="a"/>
    <w:link w:val="Char"/>
    <w:qFormat/>
    <w:rsid w:val="00F4138F"/>
    <w:rPr>
      <w:sz w:val="18"/>
      <w:szCs w:val="18"/>
    </w:rPr>
  </w:style>
  <w:style w:type="paragraph" w:styleId="a4">
    <w:name w:val="footer"/>
    <w:basedOn w:val="a"/>
    <w:link w:val="Char0"/>
    <w:qFormat/>
    <w:rsid w:val="00F4138F"/>
    <w:pPr>
      <w:tabs>
        <w:tab w:val="center" w:pos="4153"/>
        <w:tab w:val="right" w:pos="8306"/>
      </w:tabs>
      <w:snapToGrid w:val="0"/>
      <w:jc w:val="left"/>
    </w:pPr>
    <w:rPr>
      <w:sz w:val="18"/>
      <w:szCs w:val="18"/>
    </w:rPr>
  </w:style>
  <w:style w:type="paragraph" w:styleId="a5">
    <w:name w:val="header"/>
    <w:basedOn w:val="a"/>
    <w:link w:val="Char1"/>
    <w:qFormat/>
    <w:rsid w:val="00F4138F"/>
    <w:pPr>
      <w:pBdr>
        <w:bottom w:val="single" w:sz="6" w:space="1" w:color="auto"/>
      </w:pBdr>
      <w:tabs>
        <w:tab w:val="center" w:pos="4153"/>
        <w:tab w:val="right" w:pos="8306"/>
      </w:tabs>
      <w:snapToGrid w:val="0"/>
      <w:jc w:val="center"/>
    </w:pPr>
    <w:rPr>
      <w:sz w:val="18"/>
      <w:szCs w:val="18"/>
    </w:rPr>
  </w:style>
  <w:style w:type="table" w:styleId="a6">
    <w:name w:val="Table Grid"/>
    <w:basedOn w:val="a2"/>
    <w:qFormat/>
    <w:rsid w:val="00F413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5"/>
    <w:qFormat/>
    <w:rsid w:val="00F4138F"/>
    <w:rPr>
      <w:rFonts w:asciiTheme="minorHAnsi" w:eastAsiaTheme="minorEastAsia" w:hAnsiTheme="minorHAnsi" w:cstheme="minorBidi"/>
      <w:kern w:val="2"/>
      <w:sz w:val="18"/>
      <w:szCs w:val="18"/>
    </w:rPr>
  </w:style>
  <w:style w:type="character" w:customStyle="1" w:styleId="Char0">
    <w:name w:val="页脚 Char"/>
    <w:basedOn w:val="a1"/>
    <w:link w:val="a4"/>
    <w:qFormat/>
    <w:rsid w:val="00F4138F"/>
    <w:rPr>
      <w:rFonts w:asciiTheme="minorHAnsi" w:eastAsiaTheme="minorEastAsia" w:hAnsiTheme="minorHAnsi" w:cstheme="minorBidi"/>
      <w:kern w:val="2"/>
      <w:sz w:val="18"/>
      <w:szCs w:val="18"/>
    </w:rPr>
  </w:style>
  <w:style w:type="character" w:customStyle="1" w:styleId="Char">
    <w:name w:val="批注框文本 Char"/>
    <w:basedOn w:val="a1"/>
    <w:link w:val="a0"/>
    <w:qFormat/>
    <w:rsid w:val="00F4138F"/>
    <w:rPr>
      <w:rFonts w:asciiTheme="minorHAnsi" w:eastAsiaTheme="minorEastAsia" w:hAnsiTheme="minorHAnsi" w:cstheme="minorBidi"/>
      <w:kern w:val="2"/>
      <w:sz w:val="18"/>
      <w:szCs w:val="18"/>
    </w:rPr>
  </w:style>
  <w:style w:type="paragraph" w:customStyle="1" w:styleId="a7">
    <w:name w:val="发文正文"/>
    <w:qFormat/>
    <w:rsid w:val="00F4138F"/>
    <w:pPr>
      <w:widowControl w:val="0"/>
      <w:ind w:firstLineChars="200" w:firstLine="632"/>
      <w:jc w:val="both"/>
    </w:pPr>
    <w:rPr>
      <w:rFonts w:ascii="仿宋_GB2312" w:eastAsia="仿宋_GB2312"/>
      <w:kern w:val="2"/>
      <w:sz w:val="32"/>
      <w:szCs w:val="24"/>
    </w:rPr>
  </w:style>
  <w:style w:type="paragraph" w:styleId="a8">
    <w:name w:val="List Paragraph"/>
    <w:basedOn w:val="a"/>
    <w:uiPriority w:val="99"/>
    <w:unhideWhenUsed/>
    <w:qFormat/>
    <w:rsid w:val="00F4138F"/>
    <w:pPr>
      <w:ind w:firstLineChars="200" w:firstLine="420"/>
    </w:pPr>
  </w:style>
  <w:style w:type="table" w:customStyle="1" w:styleId="-11">
    <w:name w:val="浅色列表 - 强调文字颜色 11"/>
    <w:basedOn w:val="a2"/>
    <w:uiPriority w:val="61"/>
    <w:rsid w:val="00642EB6"/>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616</Characters>
  <Application>Microsoft Office Word</Application>
  <DocSecurity>0</DocSecurity>
  <Lines>5</Lines>
  <Paragraphs>1</Paragraphs>
  <ScaleCrop>false</ScaleCrop>
  <Company>Kingsoft</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fjjjzd</cp:lastModifiedBy>
  <cp:revision>17</cp:revision>
  <cp:lastPrinted>2023-03-24T04:19:00Z</cp:lastPrinted>
  <dcterms:created xsi:type="dcterms:W3CDTF">2019-03-22T05:06:00Z</dcterms:created>
  <dcterms:modified xsi:type="dcterms:W3CDTF">2023-03-29T03:44:00Z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7545126E43894249ABC23F35B4E883AE</vt:lpwstr>
  </property>
</Properties>
</file>