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after="120" w:line="420" w:lineRule="atLeast"/>
        <w:jc w:val="center"/>
        <w:rPr>
          <w:rFonts w:ascii="宋体" w:hAnsi="宋体" w:eastAsia="宋体" w:cs="宋体"/>
          <w:color w:val="auto"/>
          <w:kern w:val="0"/>
          <w:sz w:val="20"/>
          <w:szCs w:val="20"/>
        </w:rPr>
      </w:pPr>
      <w:bookmarkStart w:id="0" w:name="_GoBack"/>
    </w:p>
    <w:p>
      <w:pPr>
        <w:widowControl/>
        <w:shd w:val="clear" w:color="auto" w:fill="FFFFFF"/>
        <w:spacing w:after="120" w:line="420" w:lineRule="atLeast"/>
        <w:jc w:val="center"/>
        <w:rPr>
          <w:rFonts w:ascii="宋体" w:hAnsi="宋体" w:eastAsia="宋体" w:cs="宋体"/>
          <w:color w:val="auto"/>
          <w:kern w:val="0"/>
          <w:sz w:val="20"/>
          <w:szCs w:val="20"/>
        </w:rPr>
      </w:pPr>
    </w:p>
    <w:p>
      <w:pPr>
        <w:widowControl/>
        <w:shd w:val="clear" w:color="auto" w:fill="FFFFFF"/>
        <w:spacing w:after="120" w:line="420" w:lineRule="atLeast"/>
        <w:jc w:val="center"/>
        <w:rPr>
          <w:rFonts w:ascii="宋体" w:hAnsi="宋体" w:eastAsia="宋体" w:cs="宋体"/>
          <w:color w:val="auto"/>
          <w:kern w:val="0"/>
          <w:sz w:val="20"/>
          <w:szCs w:val="20"/>
        </w:rPr>
      </w:pPr>
    </w:p>
    <w:p>
      <w:pPr>
        <w:widowControl/>
        <w:shd w:val="clear" w:color="auto" w:fill="FFFFFF"/>
        <w:spacing w:after="120" w:line="420" w:lineRule="atLeast"/>
        <w:jc w:val="center"/>
        <w:rPr>
          <w:rFonts w:hint="eastAsia" w:ascii="宋体" w:hAnsi="宋体" w:eastAsia="宋体" w:cs="宋体"/>
          <w:b/>
          <w:bCs/>
          <w:color w:val="auto"/>
          <w:kern w:val="0"/>
          <w:sz w:val="52"/>
          <w:szCs w:val="52"/>
          <w:lang w:eastAsia="zh-CN"/>
        </w:rPr>
      </w:pPr>
      <w:r>
        <w:rPr>
          <w:rFonts w:hint="eastAsia" w:ascii="宋体" w:hAnsi="宋体" w:eastAsia="宋体" w:cs="宋体"/>
          <w:b/>
          <w:bCs/>
          <w:color w:val="auto"/>
          <w:kern w:val="0"/>
          <w:sz w:val="52"/>
          <w:szCs w:val="52"/>
          <w:lang w:eastAsia="zh-CN"/>
        </w:rPr>
        <w:t>福建省公安厅应急物资储备仓库</w:t>
      </w:r>
    </w:p>
    <w:p>
      <w:pPr>
        <w:widowControl/>
        <w:shd w:val="clear" w:color="auto" w:fill="FFFFFF"/>
        <w:spacing w:after="120" w:line="420" w:lineRule="atLeast"/>
        <w:jc w:val="center"/>
        <w:rPr>
          <w:rFonts w:hint="eastAsia" w:ascii="宋体" w:hAnsi="宋体" w:eastAsia="宋体" w:cs="宋体"/>
          <w:b/>
          <w:bCs/>
          <w:color w:val="auto"/>
          <w:kern w:val="0"/>
          <w:sz w:val="52"/>
          <w:szCs w:val="52"/>
          <w:lang w:eastAsia="zh-CN"/>
        </w:rPr>
      </w:pPr>
      <w:r>
        <w:rPr>
          <w:rFonts w:hint="eastAsia" w:ascii="宋体" w:hAnsi="宋体" w:eastAsia="宋体" w:cs="宋体"/>
          <w:b/>
          <w:bCs/>
          <w:color w:val="auto"/>
          <w:kern w:val="0"/>
          <w:sz w:val="52"/>
          <w:szCs w:val="52"/>
          <w:lang w:eastAsia="zh-CN"/>
        </w:rPr>
        <w:t>围墙修复工程</w:t>
      </w:r>
    </w:p>
    <w:p>
      <w:pPr>
        <w:widowControl/>
        <w:shd w:val="clear" w:color="auto" w:fill="FFFFFF"/>
        <w:spacing w:after="120" w:line="420" w:lineRule="atLeast"/>
        <w:jc w:val="center"/>
        <w:rPr>
          <w:rFonts w:ascii="宋体" w:hAnsi="宋体" w:eastAsia="宋体" w:cs="宋体"/>
          <w:b/>
          <w:bCs/>
          <w:color w:val="auto"/>
          <w:kern w:val="0"/>
          <w:sz w:val="54"/>
        </w:rPr>
      </w:pPr>
    </w:p>
    <w:p>
      <w:pPr>
        <w:pStyle w:val="25"/>
        <w:rPr>
          <w:rFonts w:ascii="宋体" w:hAnsi="宋体" w:eastAsia="宋体" w:cs="宋体"/>
          <w:b/>
          <w:bCs/>
          <w:color w:val="auto"/>
          <w:kern w:val="0"/>
          <w:sz w:val="54"/>
        </w:rPr>
      </w:pPr>
    </w:p>
    <w:p>
      <w:pPr>
        <w:pStyle w:val="25"/>
        <w:rPr>
          <w:rFonts w:ascii="宋体" w:hAnsi="宋体" w:eastAsia="宋体" w:cs="宋体"/>
          <w:b/>
          <w:bCs/>
          <w:color w:val="auto"/>
          <w:kern w:val="0"/>
          <w:sz w:val="54"/>
        </w:rPr>
      </w:pPr>
    </w:p>
    <w:p>
      <w:pPr>
        <w:widowControl/>
        <w:shd w:val="clear" w:color="auto" w:fill="FFFFFF"/>
        <w:spacing w:after="120" w:line="420" w:lineRule="atLeast"/>
        <w:jc w:val="center"/>
        <w:rPr>
          <w:rFonts w:ascii="宋体" w:hAnsi="宋体" w:eastAsia="宋体" w:cs="宋体"/>
          <w:b/>
          <w:bCs/>
          <w:color w:val="auto"/>
          <w:kern w:val="0"/>
          <w:sz w:val="54"/>
        </w:rPr>
      </w:pPr>
      <w:r>
        <w:rPr>
          <w:rFonts w:hint="eastAsia" w:ascii="宋体" w:hAnsi="宋体" w:eastAsia="宋体" w:cs="宋体"/>
          <w:b/>
          <w:bCs/>
          <w:color w:val="auto"/>
          <w:kern w:val="0"/>
          <w:sz w:val="54"/>
        </w:rPr>
        <w:t>政 府 采 购 委 托 协 议</w:t>
      </w:r>
    </w:p>
    <w:p>
      <w:pPr>
        <w:widowControl/>
        <w:shd w:val="clear" w:color="auto" w:fill="FFFFFF"/>
        <w:spacing w:after="120" w:line="420" w:lineRule="atLeast"/>
        <w:jc w:val="center"/>
        <w:rPr>
          <w:rFonts w:ascii="宋体" w:hAnsi="宋体" w:eastAsia="宋体" w:cs="宋体"/>
          <w:b/>
          <w:bCs/>
          <w:color w:val="auto"/>
          <w:spacing w:val="-20"/>
          <w:sz w:val="36"/>
          <w:szCs w:val="36"/>
        </w:rPr>
      </w:pPr>
      <w:r>
        <w:rPr>
          <w:rFonts w:hint="eastAsia" w:ascii="宋体" w:hAnsi="宋体" w:eastAsia="宋体" w:cs="宋体"/>
          <w:b/>
          <w:bCs/>
          <w:color w:val="auto"/>
          <w:spacing w:val="-20"/>
          <w:sz w:val="36"/>
          <w:szCs w:val="36"/>
        </w:rPr>
        <w:t>（项目编号：</w:t>
      </w:r>
      <w:r>
        <w:rPr>
          <w:rFonts w:hint="eastAsia" w:ascii="宋体" w:hAnsi="宋体" w:eastAsia="宋体" w:cs="宋体"/>
          <w:b/>
          <w:bCs/>
          <w:color w:val="auto"/>
          <w:spacing w:val="-20"/>
          <w:sz w:val="36"/>
          <w:szCs w:val="36"/>
          <w:lang w:eastAsia="zh-CN"/>
        </w:rPr>
        <w:t>MZCZ02-2024032</w:t>
      </w:r>
      <w:r>
        <w:rPr>
          <w:rFonts w:hint="eastAsia" w:ascii="宋体" w:hAnsi="宋体" w:eastAsia="宋体" w:cs="宋体"/>
          <w:b/>
          <w:bCs/>
          <w:color w:val="auto"/>
          <w:spacing w:val="-20"/>
          <w:sz w:val="36"/>
          <w:szCs w:val="36"/>
        </w:rPr>
        <w:t>）</w:t>
      </w:r>
    </w:p>
    <w:p>
      <w:pPr>
        <w:widowControl/>
        <w:shd w:val="clear" w:color="auto" w:fill="FFFFFF"/>
        <w:spacing w:after="125" w:line="540" w:lineRule="exact"/>
        <w:ind w:firstLine="883" w:firstLineChars="200"/>
        <w:jc w:val="left"/>
        <w:rPr>
          <w:rFonts w:ascii="宋体" w:hAnsi="宋体" w:eastAsia="宋体" w:cs="宋体"/>
          <w:b/>
          <w:bCs/>
          <w:color w:val="auto"/>
          <w:sz w:val="44"/>
        </w:rPr>
      </w:pPr>
    </w:p>
    <w:p>
      <w:pPr>
        <w:widowControl/>
        <w:shd w:val="clear" w:color="auto" w:fill="FFFFFF"/>
        <w:spacing w:after="125" w:line="540" w:lineRule="exact"/>
        <w:ind w:firstLine="883" w:firstLineChars="200"/>
        <w:jc w:val="left"/>
        <w:rPr>
          <w:rFonts w:ascii="宋体" w:hAnsi="宋体" w:eastAsia="宋体" w:cs="宋体"/>
          <w:b/>
          <w:bCs/>
          <w:color w:val="auto"/>
          <w:sz w:val="44"/>
        </w:rPr>
      </w:pPr>
    </w:p>
    <w:p>
      <w:pPr>
        <w:pStyle w:val="25"/>
        <w:rPr>
          <w:rFonts w:ascii="宋体" w:hAnsi="宋体" w:eastAsia="宋体" w:cs="宋体"/>
          <w:b/>
          <w:bCs/>
          <w:color w:val="auto"/>
          <w:sz w:val="44"/>
        </w:rPr>
      </w:pPr>
    </w:p>
    <w:p>
      <w:pPr>
        <w:pStyle w:val="25"/>
        <w:rPr>
          <w:rFonts w:ascii="宋体" w:hAnsi="宋体" w:eastAsia="宋体" w:cs="宋体"/>
          <w:b/>
          <w:bCs/>
          <w:color w:val="auto"/>
          <w:sz w:val="44"/>
        </w:rPr>
      </w:pPr>
    </w:p>
    <w:p>
      <w:pPr>
        <w:widowControl/>
        <w:shd w:val="clear" w:color="auto" w:fill="FFFFFF"/>
        <w:spacing w:after="125" w:line="540" w:lineRule="exact"/>
        <w:ind w:firstLine="883" w:firstLineChars="200"/>
        <w:jc w:val="left"/>
        <w:rPr>
          <w:rFonts w:ascii="宋体" w:hAnsi="宋体" w:eastAsia="宋体" w:cs="宋体"/>
          <w:b/>
          <w:bCs/>
          <w:color w:val="auto"/>
          <w:sz w:val="44"/>
        </w:rPr>
      </w:pPr>
    </w:p>
    <w:p>
      <w:pPr>
        <w:widowControl/>
        <w:shd w:val="clear" w:color="auto" w:fill="FFFFFF"/>
        <w:spacing w:after="125" w:line="540" w:lineRule="exact"/>
        <w:ind w:firstLine="883" w:firstLineChars="200"/>
        <w:jc w:val="left"/>
        <w:rPr>
          <w:rFonts w:ascii="宋体" w:hAnsi="宋体" w:eastAsia="宋体" w:cs="宋体"/>
          <w:b/>
          <w:bCs/>
          <w:color w:val="auto"/>
          <w:sz w:val="44"/>
        </w:rPr>
      </w:pPr>
    </w:p>
    <w:p>
      <w:pPr>
        <w:widowControl/>
        <w:shd w:val="clear" w:color="auto" w:fill="FFFFFF"/>
        <w:spacing w:after="125" w:line="540" w:lineRule="exact"/>
        <w:ind w:firstLine="883" w:firstLineChars="200"/>
        <w:jc w:val="left"/>
        <w:rPr>
          <w:rFonts w:ascii="宋体" w:hAnsi="宋体" w:eastAsia="宋体" w:cs="宋体"/>
          <w:b/>
          <w:bCs/>
          <w:color w:val="auto"/>
          <w:sz w:val="44"/>
        </w:rPr>
      </w:pPr>
    </w:p>
    <w:p>
      <w:pPr>
        <w:shd w:val="clear" w:color="auto" w:fill="FFFFFF"/>
        <w:kinsoku w:val="0"/>
        <w:overflowPunct w:val="0"/>
        <w:autoSpaceDE w:val="0"/>
        <w:autoSpaceDN w:val="0"/>
        <w:adjustRightInd w:val="0"/>
        <w:snapToGrid w:val="0"/>
        <w:spacing w:line="480" w:lineRule="auto"/>
        <w:ind w:left="1038" w:leftChars="284" w:hanging="442" w:hangingChars="100"/>
        <w:jc w:val="center"/>
        <w:rPr>
          <w:rFonts w:ascii="宋体" w:hAnsi="宋体" w:eastAsia="宋体" w:cs="宋体"/>
          <w:color w:val="auto"/>
          <w:kern w:val="0"/>
          <w:sz w:val="30"/>
          <w:szCs w:val="30"/>
        </w:rPr>
      </w:pPr>
      <w:r>
        <w:rPr>
          <w:rFonts w:hint="eastAsia" w:ascii="宋体" w:hAnsi="宋体" w:eastAsia="宋体" w:cs="宋体"/>
          <w:b/>
          <w:bCs/>
          <w:color w:val="auto"/>
          <w:sz w:val="44"/>
        </w:rPr>
        <w:t>二○二</w:t>
      </w:r>
      <w:r>
        <w:rPr>
          <w:rFonts w:hint="eastAsia" w:ascii="宋体" w:hAnsi="宋体" w:eastAsia="宋体" w:cs="宋体"/>
          <w:b/>
          <w:bCs/>
          <w:color w:val="auto"/>
          <w:sz w:val="44"/>
          <w:lang w:val="en-US" w:eastAsia="zh-CN"/>
        </w:rPr>
        <w:t>四</w:t>
      </w:r>
      <w:r>
        <w:rPr>
          <w:rFonts w:hint="eastAsia" w:ascii="宋体" w:hAnsi="宋体" w:eastAsia="宋体" w:cs="宋体"/>
          <w:b/>
          <w:bCs/>
          <w:color w:val="auto"/>
          <w:sz w:val="44"/>
        </w:rPr>
        <w:t>年</w:t>
      </w:r>
      <w:r>
        <w:rPr>
          <w:rFonts w:hint="eastAsia" w:ascii="宋体" w:hAnsi="宋体" w:eastAsia="宋体" w:cs="宋体"/>
          <w:b/>
          <w:bCs/>
          <w:color w:val="auto"/>
          <w:sz w:val="44"/>
          <w:lang w:val="en-US" w:eastAsia="zh-CN"/>
        </w:rPr>
        <w:t>一</w:t>
      </w:r>
      <w:r>
        <w:rPr>
          <w:rFonts w:hint="eastAsia" w:ascii="宋体" w:hAnsi="宋体" w:eastAsia="宋体" w:cs="宋体"/>
          <w:b/>
          <w:bCs/>
          <w:color w:val="auto"/>
          <w:sz w:val="44"/>
        </w:rPr>
        <w:t>月</w:t>
      </w:r>
    </w:p>
    <w:p>
      <w:pPr>
        <w:widowControl/>
        <w:shd w:val="clear" w:color="auto" w:fill="FFFFFF"/>
        <w:spacing w:after="125"/>
        <w:jc w:val="left"/>
        <w:rPr>
          <w:rFonts w:ascii="宋体" w:hAnsi="宋体" w:eastAsia="宋体" w:cs="宋体"/>
          <w:color w:val="auto"/>
          <w:kern w:val="0"/>
          <w:sz w:val="30"/>
          <w:szCs w:val="30"/>
        </w:rPr>
      </w:pPr>
    </w:p>
    <w:p>
      <w:pPr>
        <w:widowControl/>
        <w:shd w:val="clear" w:color="auto" w:fill="FFFFFF"/>
        <w:spacing w:after="125"/>
        <w:jc w:val="left"/>
        <w:rPr>
          <w:rFonts w:ascii="宋体" w:hAnsi="宋体" w:eastAsia="宋体" w:cs="宋体"/>
          <w:color w:val="auto"/>
          <w:kern w:val="0"/>
          <w:sz w:val="30"/>
          <w:szCs w:val="30"/>
        </w:rPr>
      </w:pPr>
      <w:r>
        <w:rPr>
          <w:rFonts w:hint="eastAsia" w:ascii="宋体" w:hAnsi="宋体" w:eastAsia="宋体" w:cs="宋体"/>
          <w:color w:val="auto"/>
          <w:kern w:val="0"/>
          <w:sz w:val="30"/>
          <w:szCs w:val="30"/>
        </w:rPr>
        <w:t>     </w:t>
      </w:r>
    </w:p>
    <w:p>
      <w:pPr>
        <w:rPr>
          <w:rFonts w:ascii="宋体" w:hAnsi="宋体" w:eastAsia="宋体" w:cs="宋体"/>
          <w:color w:val="auto"/>
          <w:kern w:val="0"/>
          <w:sz w:val="28"/>
          <w:szCs w:val="28"/>
        </w:rPr>
      </w:pPr>
      <w:r>
        <w:rPr>
          <w:rFonts w:hint="eastAsia" w:ascii="宋体" w:hAnsi="宋体" w:eastAsia="宋体" w:cs="宋体"/>
          <w:color w:val="auto"/>
          <w:kern w:val="0"/>
          <w:sz w:val="28"/>
          <w:szCs w:val="28"/>
        </w:rPr>
        <w:br w:type="page"/>
      </w:r>
    </w:p>
    <w:p>
      <w:pPr>
        <w:widowControl/>
        <w:shd w:val="clear" w:color="auto" w:fill="FFFFFF"/>
        <w:spacing w:after="125" w:line="540" w:lineRule="exact"/>
        <w:ind w:firstLine="560" w:firstLineChars="200"/>
        <w:jc w:val="left"/>
        <w:rPr>
          <w:rFonts w:ascii="宋体" w:hAnsi="宋体" w:eastAsia="宋体" w:cs="宋体"/>
          <w:color w:val="auto"/>
          <w:kern w:val="0"/>
          <w:sz w:val="28"/>
          <w:szCs w:val="28"/>
        </w:rPr>
        <w:sectPr>
          <w:pgSz w:w="11906" w:h="16838"/>
          <w:pgMar w:top="1213" w:right="1253" w:bottom="1213" w:left="1253" w:header="851" w:footer="992" w:gutter="0"/>
          <w:pgNumType w:start="0"/>
          <w:cols w:space="0" w:num="1"/>
          <w:docGrid w:type="lines" w:linePitch="312" w:charSpace="0"/>
        </w:sectPr>
      </w:pPr>
    </w:p>
    <w:p>
      <w:pPr>
        <w:pStyle w:val="4"/>
        <w:shd w:val="clear" w:color="auto" w:fill="FFFFFF"/>
        <w:spacing w:before="0" w:beforeAutospacing="0" w:after="0" w:afterAutospacing="0"/>
        <w:ind w:firstLine="560" w:firstLineChars="200"/>
        <w:rPr>
          <w:color w:val="auto"/>
          <w:sz w:val="28"/>
          <w:szCs w:val="28"/>
        </w:rPr>
      </w:pPr>
      <w:r>
        <w:rPr>
          <w:color w:val="auto"/>
          <w:sz w:val="28"/>
          <w:szCs w:val="28"/>
        </w:rPr>
        <w:t>根据《中华人民共和国政府采购法》《中华人民共和国政府采购法实施条例》《中华人民共和国民法典》等法律法规及福建省政府采购相关政策规定，经甲乙双方协商一致，就甲方委托乙方代理甲方相关项目的政府采购事宜达到下列协议。</w:t>
      </w:r>
    </w:p>
    <w:p>
      <w:pPr>
        <w:pStyle w:val="4"/>
        <w:numPr>
          <w:ilvl w:val="0"/>
          <w:numId w:val="1"/>
        </w:numPr>
        <w:shd w:val="clear" w:color="auto" w:fill="FFFFFF"/>
        <w:spacing w:before="0" w:beforeAutospacing="0" w:after="0" w:afterAutospacing="0"/>
        <w:ind w:firstLine="560" w:firstLineChars="200"/>
        <w:rPr>
          <w:color w:val="auto"/>
          <w:sz w:val="28"/>
          <w:szCs w:val="28"/>
        </w:rPr>
      </w:pPr>
      <w:r>
        <w:rPr>
          <w:color w:val="auto"/>
          <w:sz w:val="28"/>
          <w:szCs w:val="28"/>
        </w:rPr>
        <w:t>委托事项</w:t>
      </w:r>
    </w:p>
    <w:p>
      <w:pPr>
        <w:pStyle w:val="4"/>
        <w:shd w:val="clear" w:color="auto" w:fill="FFFFFF"/>
        <w:spacing w:before="0" w:beforeAutospacing="0" w:after="0" w:afterAutospacing="0"/>
        <w:ind w:firstLine="560" w:firstLineChars="200"/>
        <w:rPr>
          <w:color w:val="auto"/>
          <w:sz w:val="28"/>
          <w:szCs w:val="28"/>
        </w:rPr>
      </w:pPr>
      <w:r>
        <w:rPr>
          <w:color w:val="auto"/>
          <w:sz w:val="28"/>
          <w:szCs w:val="28"/>
        </w:rPr>
        <w:t>甲方委托乙方代理的项目为</w:t>
      </w:r>
      <w:r>
        <w:rPr>
          <w:rFonts w:hint="eastAsia"/>
          <w:color w:val="auto"/>
          <w:sz w:val="28"/>
          <w:szCs w:val="28"/>
          <w:u w:val="single"/>
          <w:lang w:eastAsia="zh-CN"/>
        </w:rPr>
        <w:t>福建省公安厅应急物资储备仓库围墙修复工程</w:t>
      </w:r>
      <w:r>
        <w:rPr>
          <w:color w:val="auto"/>
          <w:sz w:val="28"/>
          <w:szCs w:val="28"/>
        </w:rPr>
        <w:t>,预算金额</w:t>
      </w:r>
      <w:r>
        <w:rPr>
          <w:rFonts w:hint="eastAsia"/>
          <w:color w:val="auto"/>
          <w:sz w:val="28"/>
          <w:szCs w:val="28"/>
          <w:u w:val="single"/>
          <w:lang w:eastAsia="zh-CN"/>
        </w:rPr>
        <w:t>525076</w:t>
      </w:r>
      <w:r>
        <w:rPr>
          <w:color w:val="auto"/>
          <w:sz w:val="28"/>
          <w:szCs w:val="28"/>
        </w:rPr>
        <w:t>元。   </w:t>
      </w:r>
    </w:p>
    <w:p>
      <w:pPr>
        <w:pStyle w:val="4"/>
        <w:numPr>
          <w:ilvl w:val="0"/>
          <w:numId w:val="1"/>
        </w:numPr>
        <w:shd w:val="clear" w:color="auto" w:fill="FFFFFF"/>
        <w:spacing w:before="0" w:beforeAutospacing="0" w:after="0" w:afterAutospacing="0"/>
        <w:ind w:firstLine="560" w:firstLineChars="200"/>
        <w:rPr>
          <w:color w:val="auto"/>
          <w:sz w:val="28"/>
          <w:szCs w:val="28"/>
        </w:rPr>
      </w:pPr>
      <w:r>
        <w:rPr>
          <w:color w:val="auto"/>
          <w:sz w:val="28"/>
          <w:szCs w:val="28"/>
        </w:rPr>
        <w:t>委托权限及范围</w:t>
      </w:r>
    </w:p>
    <w:p>
      <w:pPr>
        <w:pStyle w:val="4"/>
        <w:shd w:val="clear" w:color="auto" w:fill="FFFFFF"/>
        <w:spacing w:before="0" w:beforeAutospacing="0" w:after="0" w:afterAutospacing="0"/>
        <w:ind w:firstLine="560" w:firstLineChars="200"/>
        <w:rPr>
          <w:color w:val="auto"/>
          <w:sz w:val="28"/>
          <w:szCs w:val="28"/>
        </w:rPr>
      </w:pPr>
      <w:r>
        <w:rPr>
          <w:color w:val="auto"/>
          <w:sz w:val="28"/>
          <w:szCs w:val="28"/>
        </w:rPr>
        <w:t>甲方委托乙方代理下列事项:</w:t>
      </w:r>
    </w:p>
    <w:p>
      <w:pPr>
        <w:pStyle w:val="4"/>
        <w:numPr>
          <w:ilvl w:val="0"/>
          <w:numId w:val="2"/>
        </w:numPr>
        <w:shd w:val="clear" w:color="auto" w:fill="FFFFFF"/>
        <w:spacing w:before="0" w:beforeAutospacing="0" w:after="0" w:afterAutospacing="0"/>
        <w:ind w:firstLine="560" w:firstLineChars="200"/>
        <w:rPr>
          <w:color w:val="auto"/>
          <w:sz w:val="28"/>
          <w:szCs w:val="28"/>
        </w:rPr>
      </w:pPr>
      <w:r>
        <w:rPr>
          <w:color w:val="auto"/>
          <w:sz w:val="28"/>
          <w:szCs w:val="28"/>
        </w:rPr>
        <w:t>按照《中华人民共和国政府采购法》等法律法规，为甲方的采购项目组织实施政府采购。</w:t>
      </w:r>
    </w:p>
    <w:p>
      <w:pPr>
        <w:pStyle w:val="4"/>
        <w:numPr>
          <w:ilvl w:val="0"/>
          <w:numId w:val="2"/>
        </w:numPr>
        <w:shd w:val="clear" w:color="auto" w:fill="FFFFFF"/>
        <w:spacing w:before="0" w:beforeAutospacing="0" w:after="0" w:afterAutospacing="0"/>
        <w:ind w:firstLine="560" w:firstLineChars="200"/>
        <w:rPr>
          <w:color w:val="auto"/>
          <w:sz w:val="28"/>
          <w:szCs w:val="28"/>
        </w:rPr>
      </w:pPr>
      <w:r>
        <w:rPr>
          <w:color w:val="auto"/>
          <w:sz w:val="28"/>
          <w:szCs w:val="28"/>
        </w:rPr>
        <w:t>负责供应商投标、竞争性谈判、询价保证金的收取、保管及退还。授权乙方依据相关法律法规规定，自中标通知书发出之日起5个工作日内，在乙方确认不存在（视为）串通投标等不予退回保证金情形（含采购文件约定不予退还保证金情形）的前提下，通过系统自动退还未中标人的投标保证金；自采购合同签订之日起5个工作日内，在乙方确认不存在（视为）串通投标等不予退回保证金情形（含采购文件约定不予退还保证金情形）的前提下，通过系统自动退还中标人的投标保证金或者转为中标人的履约保证金。存在不予退还保证金情形的，在乙方向甲方报送确认中标结果通知书时，由甲方向乙方开具非税票据，并授权乙方协助收缴违规投标人的保证金至国库。</w:t>
      </w:r>
    </w:p>
    <w:p>
      <w:pPr>
        <w:pStyle w:val="4"/>
        <w:numPr>
          <w:ilvl w:val="0"/>
          <w:numId w:val="2"/>
        </w:numPr>
        <w:shd w:val="clear" w:color="auto" w:fill="FFFFFF"/>
        <w:spacing w:before="0" w:beforeAutospacing="0" w:after="0" w:afterAutospacing="0"/>
        <w:ind w:firstLine="560" w:firstLineChars="200"/>
        <w:rPr>
          <w:color w:val="auto"/>
          <w:sz w:val="28"/>
          <w:szCs w:val="28"/>
        </w:rPr>
      </w:pPr>
      <w:r>
        <w:rPr>
          <w:color w:val="auto"/>
          <w:sz w:val="28"/>
          <w:szCs w:val="28"/>
        </w:rPr>
        <w:t>组织供应商与甲方签订政府采购合同以及对合同履约情况进行验收</w:t>
      </w:r>
    </w:p>
    <w:p>
      <w:pPr>
        <w:pStyle w:val="4"/>
        <w:numPr>
          <w:ilvl w:val="0"/>
          <w:numId w:val="2"/>
        </w:numPr>
        <w:shd w:val="clear" w:color="auto" w:fill="FFFFFF"/>
        <w:spacing w:before="0" w:beforeAutospacing="0" w:after="0" w:afterAutospacing="0"/>
        <w:ind w:firstLine="560" w:firstLineChars="200"/>
        <w:rPr>
          <w:color w:val="auto"/>
          <w:sz w:val="28"/>
          <w:szCs w:val="28"/>
        </w:rPr>
      </w:pPr>
      <w:r>
        <w:rPr>
          <w:color w:val="auto"/>
          <w:sz w:val="28"/>
          <w:szCs w:val="28"/>
        </w:rPr>
        <w:t>代理甲方处理所委托采购项目的询问、质疑等事务。 </w:t>
      </w:r>
    </w:p>
    <w:p>
      <w:pPr>
        <w:pStyle w:val="4"/>
        <w:numPr>
          <w:ilvl w:val="0"/>
          <w:numId w:val="1"/>
        </w:numPr>
        <w:shd w:val="clear" w:color="auto" w:fill="FFFFFF"/>
        <w:spacing w:before="0" w:beforeAutospacing="0" w:after="0" w:afterAutospacing="0"/>
        <w:ind w:firstLine="560" w:firstLineChars="200"/>
        <w:rPr>
          <w:color w:val="auto"/>
          <w:sz w:val="28"/>
          <w:szCs w:val="28"/>
        </w:rPr>
      </w:pPr>
      <w:r>
        <w:rPr>
          <w:color w:val="auto"/>
          <w:sz w:val="28"/>
          <w:szCs w:val="28"/>
        </w:rPr>
        <w:t>甲方委托乙方的具体事项</w:t>
      </w:r>
    </w:p>
    <w:p>
      <w:pPr>
        <w:pStyle w:val="4"/>
        <w:shd w:val="clear" w:color="auto" w:fill="FFFFFF"/>
        <w:spacing w:before="0" w:beforeAutospacing="0" w:after="0" w:afterAutospacing="0"/>
        <w:ind w:firstLine="560" w:firstLineChars="200"/>
        <w:rPr>
          <w:color w:val="auto"/>
          <w:sz w:val="28"/>
          <w:szCs w:val="28"/>
        </w:rPr>
      </w:pPr>
      <w:r>
        <w:rPr>
          <w:color w:val="auto"/>
          <w:sz w:val="28"/>
          <w:szCs w:val="28"/>
        </w:rPr>
        <w:t>甲方委托乙方编制、发售招标文件，在指定媒体上发布招标（采购）公告或投标邀请函；组织整个招标过程，在指定媒体上发布中标公告，以及法定其他事项。</w:t>
      </w:r>
    </w:p>
    <w:p>
      <w:pPr>
        <w:pStyle w:val="4"/>
        <w:numPr>
          <w:ilvl w:val="0"/>
          <w:numId w:val="1"/>
        </w:numPr>
        <w:shd w:val="clear" w:color="auto" w:fill="FFFFFF"/>
        <w:spacing w:before="0" w:beforeAutospacing="0" w:after="0" w:afterAutospacing="0"/>
        <w:ind w:firstLine="560" w:firstLineChars="200"/>
        <w:rPr>
          <w:color w:val="auto"/>
          <w:sz w:val="28"/>
          <w:szCs w:val="28"/>
        </w:rPr>
      </w:pPr>
      <w:r>
        <w:rPr>
          <w:color w:val="auto"/>
          <w:sz w:val="28"/>
          <w:szCs w:val="28"/>
        </w:rPr>
        <w:t>甲方的责任</w:t>
      </w:r>
    </w:p>
    <w:p>
      <w:pPr>
        <w:pStyle w:val="4"/>
        <w:numPr>
          <w:ilvl w:val="0"/>
          <w:numId w:val="3"/>
        </w:numPr>
        <w:shd w:val="clear" w:color="auto" w:fill="FFFFFF"/>
        <w:spacing w:before="0" w:beforeAutospacing="0" w:after="0" w:afterAutospacing="0"/>
        <w:ind w:firstLine="560" w:firstLineChars="200"/>
        <w:rPr>
          <w:color w:val="auto"/>
          <w:sz w:val="28"/>
          <w:szCs w:val="28"/>
        </w:rPr>
      </w:pPr>
      <w:r>
        <w:rPr>
          <w:color w:val="auto"/>
          <w:sz w:val="28"/>
          <w:szCs w:val="28"/>
        </w:rPr>
        <w:t>甲方应遵守国家的法律、法规，特别是政府采购有关法律法规的规定，严格执行支持节能、环保等有关政府采购政策，保证采购工作顺利进行。</w:t>
      </w:r>
    </w:p>
    <w:p>
      <w:pPr>
        <w:pStyle w:val="4"/>
        <w:numPr>
          <w:ilvl w:val="0"/>
          <w:numId w:val="3"/>
        </w:numPr>
        <w:shd w:val="clear" w:color="auto" w:fill="FFFFFF"/>
        <w:spacing w:before="0" w:beforeAutospacing="0" w:after="0" w:afterAutospacing="0"/>
        <w:ind w:firstLine="560" w:firstLineChars="200"/>
        <w:rPr>
          <w:color w:val="auto"/>
          <w:sz w:val="28"/>
          <w:szCs w:val="28"/>
        </w:rPr>
      </w:pPr>
      <w:r>
        <w:rPr>
          <w:color w:val="auto"/>
          <w:sz w:val="28"/>
          <w:szCs w:val="28"/>
        </w:rPr>
        <w:t>甲方应依法确定采购方式、采购需求、采购文件和中标（成交）供应商，并负责所委托项目的采购方式等有关送审报批手续。</w:t>
      </w:r>
    </w:p>
    <w:p>
      <w:pPr>
        <w:pStyle w:val="4"/>
        <w:numPr>
          <w:ilvl w:val="0"/>
          <w:numId w:val="3"/>
        </w:numPr>
        <w:shd w:val="clear" w:color="auto" w:fill="FFFFFF"/>
        <w:spacing w:before="0" w:beforeAutospacing="0" w:after="0" w:afterAutospacing="0"/>
        <w:ind w:firstLine="560" w:firstLineChars="200"/>
        <w:rPr>
          <w:color w:val="auto"/>
          <w:sz w:val="28"/>
          <w:szCs w:val="28"/>
        </w:rPr>
      </w:pPr>
      <w:r>
        <w:rPr>
          <w:color w:val="auto"/>
          <w:sz w:val="28"/>
          <w:szCs w:val="28"/>
        </w:rPr>
        <w:t>指定</w:t>
      </w:r>
      <w:r>
        <w:rPr>
          <w:rFonts w:hint="eastAsia"/>
          <w:color w:val="auto"/>
          <w:sz w:val="28"/>
          <w:szCs w:val="28"/>
          <w:lang w:val="en-US" w:eastAsia="zh-CN"/>
        </w:rPr>
        <w:t>林泉</w:t>
      </w:r>
      <w:r>
        <w:rPr>
          <w:color w:val="auto"/>
          <w:sz w:val="28"/>
          <w:szCs w:val="28"/>
        </w:rPr>
        <w:t>同志作为甲方的项目负责人，代表甲方联系和处理本次委托项目采购过程中的有关具体事项。</w:t>
      </w:r>
    </w:p>
    <w:p>
      <w:pPr>
        <w:pStyle w:val="4"/>
        <w:numPr>
          <w:ilvl w:val="0"/>
          <w:numId w:val="3"/>
        </w:numPr>
        <w:shd w:val="clear" w:color="auto" w:fill="FFFFFF"/>
        <w:spacing w:before="0" w:beforeAutospacing="0" w:after="0" w:afterAutospacing="0"/>
        <w:ind w:firstLine="560" w:firstLineChars="200"/>
        <w:rPr>
          <w:color w:val="auto"/>
          <w:sz w:val="28"/>
          <w:szCs w:val="28"/>
        </w:rPr>
      </w:pPr>
      <w:r>
        <w:rPr>
          <w:color w:val="auto"/>
          <w:sz w:val="28"/>
          <w:szCs w:val="28"/>
        </w:rPr>
        <w:t>向乙方提供本项目所需符合法律法规规定的有关技术、服务、商务、要求等书面材料，协助乙方编制采购文件，并澄清采购项目的需求。</w:t>
      </w:r>
    </w:p>
    <w:p>
      <w:pPr>
        <w:pStyle w:val="4"/>
        <w:numPr>
          <w:ilvl w:val="0"/>
          <w:numId w:val="3"/>
        </w:numPr>
        <w:shd w:val="clear" w:color="auto" w:fill="FFFFFF"/>
        <w:spacing w:before="0" w:beforeAutospacing="0" w:after="0" w:afterAutospacing="0"/>
        <w:ind w:firstLine="560" w:firstLineChars="200"/>
        <w:rPr>
          <w:color w:val="auto"/>
          <w:sz w:val="28"/>
          <w:szCs w:val="28"/>
        </w:rPr>
      </w:pPr>
      <w:r>
        <w:rPr>
          <w:color w:val="auto"/>
          <w:sz w:val="28"/>
          <w:szCs w:val="28"/>
        </w:rPr>
        <w:t>甲方在依法委托过程中，不得要求乙方在采购文件中以不合理的条件限制或排斥潜在的供应商，不得对供应商实行差别待遇或歧视待遇，不得以任何手段排斥其他供应商参与竞争，不得以任何方式向乙方和评审专家指定或暗示中标或成交供应商。</w:t>
      </w:r>
    </w:p>
    <w:p>
      <w:pPr>
        <w:pStyle w:val="4"/>
        <w:numPr>
          <w:ilvl w:val="0"/>
          <w:numId w:val="3"/>
        </w:numPr>
        <w:shd w:val="clear" w:color="auto" w:fill="FFFFFF"/>
        <w:spacing w:before="0" w:beforeAutospacing="0" w:after="0" w:afterAutospacing="0"/>
        <w:ind w:firstLine="560" w:firstLineChars="200"/>
        <w:rPr>
          <w:color w:val="auto"/>
          <w:sz w:val="28"/>
          <w:szCs w:val="28"/>
        </w:rPr>
      </w:pPr>
      <w:r>
        <w:rPr>
          <w:color w:val="auto"/>
          <w:sz w:val="28"/>
          <w:szCs w:val="28"/>
        </w:rPr>
        <w:t>甲方可以委派有关人员进入评审现场对评审工作实施监督，但不得超过2人；按法律法规规定指派有关人员代表甲方参与采购活动，书面授权与本项目供应商无直接利害关系的专业人员代表甲方出任评审委员会成员，但不得非法干预、影响评审过程和结果。</w:t>
      </w:r>
    </w:p>
    <w:p>
      <w:pPr>
        <w:pStyle w:val="4"/>
        <w:numPr>
          <w:ilvl w:val="0"/>
          <w:numId w:val="3"/>
        </w:numPr>
        <w:shd w:val="clear" w:color="auto" w:fill="FFFFFF"/>
        <w:spacing w:before="0" w:beforeAutospacing="0" w:after="0" w:afterAutospacing="0"/>
        <w:ind w:firstLine="560" w:firstLineChars="200"/>
        <w:rPr>
          <w:color w:val="auto"/>
          <w:sz w:val="28"/>
          <w:szCs w:val="28"/>
        </w:rPr>
      </w:pPr>
      <w:r>
        <w:rPr>
          <w:color w:val="auto"/>
          <w:sz w:val="28"/>
          <w:szCs w:val="28"/>
        </w:rPr>
        <w:t>应当自收到评审报告之日起5个工作日内在评审报告推荐的中标或者成交候选人中按顺序确定中标或者成交供应商。无法定情形逾期确认的，法律后果由甲方自行承担。</w:t>
      </w:r>
    </w:p>
    <w:p>
      <w:pPr>
        <w:pStyle w:val="4"/>
        <w:numPr>
          <w:ilvl w:val="0"/>
          <w:numId w:val="3"/>
        </w:numPr>
        <w:shd w:val="clear" w:color="auto" w:fill="FFFFFF"/>
        <w:spacing w:before="0" w:beforeAutospacing="0" w:after="0" w:afterAutospacing="0"/>
        <w:ind w:firstLine="560" w:firstLineChars="200"/>
        <w:rPr>
          <w:color w:val="auto"/>
          <w:sz w:val="28"/>
          <w:szCs w:val="28"/>
        </w:rPr>
      </w:pPr>
      <w:r>
        <w:rPr>
          <w:color w:val="auto"/>
          <w:sz w:val="28"/>
          <w:szCs w:val="28"/>
        </w:rPr>
        <w:t>甲方应对政府采购项目中涉及的商业秘密负有保密义务，不得将可能影响采购项目公正性的信息透露给利害关系人。</w:t>
      </w:r>
    </w:p>
    <w:p>
      <w:pPr>
        <w:pStyle w:val="4"/>
        <w:numPr>
          <w:ilvl w:val="0"/>
          <w:numId w:val="3"/>
        </w:numPr>
        <w:shd w:val="clear" w:color="auto" w:fill="FFFFFF"/>
        <w:spacing w:before="0" w:beforeAutospacing="0" w:after="0" w:afterAutospacing="0"/>
        <w:ind w:firstLine="560" w:firstLineChars="200"/>
        <w:rPr>
          <w:color w:val="auto"/>
          <w:sz w:val="28"/>
          <w:szCs w:val="28"/>
        </w:rPr>
      </w:pPr>
      <w:r>
        <w:rPr>
          <w:color w:val="auto"/>
          <w:sz w:val="28"/>
          <w:szCs w:val="28"/>
        </w:rPr>
        <w:t>甲方应依法与中标或成交供应商签订政府采购合同，及时组织项目验收和款项支付事宜，并负责合同等向本级政府采购监管部门备案。</w:t>
      </w:r>
    </w:p>
    <w:p>
      <w:pPr>
        <w:pStyle w:val="4"/>
        <w:numPr>
          <w:ilvl w:val="0"/>
          <w:numId w:val="3"/>
        </w:numPr>
        <w:shd w:val="clear" w:color="auto" w:fill="FFFFFF"/>
        <w:spacing w:before="0" w:beforeAutospacing="0" w:after="0" w:afterAutospacing="0"/>
        <w:ind w:firstLine="560" w:firstLineChars="200"/>
        <w:rPr>
          <w:color w:val="auto"/>
          <w:sz w:val="28"/>
          <w:szCs w:val="28"/>
        </w:rPr>
      </w:pPr>
      <w:r>
        <w:rPr>
          <w:color w:val="auto"/>
          <w:sz w:val="28"/>
          <w:szCs w:val="28"/>
        </w:rPr>
        <w:t>负责针对供应商对采购文件、采购过程和采购结果等提出的质疑，在法定时限内向乙方提供书面说明或以书面形式答复质疑供应商、通知其他相关供应商。</w:t>
      </w:r>
    </w:p>
    <w:p>
      <w:pPr>
        <w:pStyle w:val="4"/>
        <w:numPr>
          <w:ilvl w:val="0"/>
          <w:numId w:val="3"/>
        </w:numPr>
        <w:shd w:val="clear" w:color="auto" w:fill="FFFFFF"/>
        <w:spacing w:before="0" w:beforeAutospacing="0" w:after="0" w:afterAutospacing="0"/>
        <w:ind w:firstLine="560" w:firstLineChars="200"/>
        <w:rPr>
          <w:color w:val="auto"/>
          <w:sz w:val="28"/>
          <w:szCs w:val="28"/>
        </w:rPr>
      </w:pPr>
      <w:r>
        <w:rPr>
          <w:color w:val="auto"/>
          <w:sz w:val="28"/>
          <w:szCs w:val="28"/>
        </w:rPr>
        <w:t>根据需要协助乙方组织供应商踏勘采购项目的现场。</w:t>
      </w:r>
    </w:p>
    <w:p>
      <w:pPr>
        <w:pStyle w:val="4"/>
        <w:numPr>
          <w:ilvl w:val="0"/>
          <w:numId w:val="3"/>
        </w:numPr>
        <w:shd w:val="clear" w:color="auto" w:fill="FFFFFF"/>
        <w:spacing w:before="0" w:beforeAutospacing="0" w:after="0" w:afterAutospacing="0"/>
        <w:ind w:firstLine="560" w:firstLineChars="200"/>
        <w:rPr>
          <w:color w:val="auto"/>
          <w:sz w:val="28"/>
          <w:szCs w:val="28"/>
        </w:rPr>
      </w:pPr>
      <w:r>
        <w:rPr>
          <w:color w:val="auto"/>
          <w:sz w:val="28"/>
          <w:szCs w:val="28"/>
        </w:rPr>
        <w:t>妥善保管甲方内部采购材料，与乙方协商自行或委托乙方保管采购文件等档案材料，配合作好签收、调阅记录。</w:t>
      </w:r>
    </w:p>
    <w:p>
      <w:pPr>
        <w:pStyle w:val="4"/>
        <w:shd w:val="clear" w:color="auto" w:fill="FFFFFF"/>
        <w:spacing w:before="0" w:beforeAutospacing="0" w:after="0" w:afterAutospacing="0"/>
        <w:ind w:firstLine="560" w:firstLineChars="200"/>
        <w:rPr>
          <w:color w:val="auto"/>
          <w:sz w:val="28"/>
          <w:szCs w:val="28"/>
        </w:rPr>
      </w:pPr>
      <w:r>
        <w:rPr>
          <w:color w:val="auto"/>
          <w:sz w:val="28"/>
          <w:szCs w:val="28"/>
        </w:rPr>
        <w:t>以上事项甲方若授权甲方某内设机构负责实施，签订本协议时，须同时提供法人授权函，并说明本项目以后相关往来书面材料所需公章可用授权函里所授权的公章加盖，否则加盖公章必须与本协议一致。</w:t>
      </w:r>
    </w:p>
    <w:p>
      <w:pPr>
        <w:pStyle w:val="4"/>
        <w:numPr>
          <w:ilvl w:val="0"/>
          <w:numId w:val="1"/>
        </w:numPr>
        <w:shd w:val="clear" w:color="auto" w:fill="FFFFFF"/>
        <w:spacing w:before="0" w:beforeAutospacing="0" w:after="0" w:afterAutospacing="0"/>
        <w:ind w:firstLine="560" w:firstLineChars="200"/>
        <w:rPr>
          <w:color w:val="auto"/>
          <w:sz w:val="28"/>
          <w:szCs w:val="28"/>
        </w:rPr>
      </w:pPr>
      <w:r>
        <w:rPr>
          <w:color w:val="auto"/>
          <w:sz w:val="28"/>
          <w:szCs w:val="28"/>
        </w:rPr>
        <w:t>乙方的权利和义务</w:t>
      </w:r>
    </w:p>
    <w:p>
      <w:pPr>
        <w:pStyle w:val="4"/>
        <w:numPr>
          <w:ilvl w:val="0"/>
          <w:numId w:val="4"/>
        </w:numPr>
        <w:shd w:val="clear" w:color="auto" w:fill="FFFFFF"/>
        <w:spacing w:before="0" w:beforeAutospacing="0" w:after="0" w:afterAutospacing="0"/>
        <w:ind w:firstLine="560" w:firstLineChars="200"/>
        <w:rPr>
          <w:color w:val="auto"/>
          <w:sz w:val="28"/>
          <w:szCs w:val="28"/>
        </w:rPr>
      </w:pPr>
      <w:r>
        <w:rPr>
          <w:color w:val="auto"/>
          <w:sz w:val="28"/>
          <w:szCs w:val="28"/>
        </w:rPr>
        <w:t>按政府采购的相关法律法规规定组织甲方所委托项目的采购工作，向甲方提供优良的服务，保证采购项目顺利实施。</w:t>
      </w:r>
    </w:p>
    <w:p>
      <w:pPr>
        <w:pStyle w:val="4"/>
        <w:numPr>
          <w:ilvl w:val="0"/>
          <w:numId w:val="4"/>
        </w:numPr>
        <w:shd w:val="clear" w:color="auto" w:fill="FFFFFF"/>
        <w:spacing w:before="0" w:beforeAutospacing="0" w:after="0" w:afterAutospacing="0"/>
        <w:ind w:firstLine="560" w:firstLineChars="200"/>
        <w:rPr>
          <w:color w:val="auto"/>
          <w:sz w:val="28"/>
          <w:szCs w:val="28"/>
        </w:rPr>
      </w:pPr>
      <w:r>
        <w:rPr>
          <w:color w:val="auto"/>
          <w:sz w:val="28"/>
          <w:szCs w:val="28"/>
        </w:rPr>
        <w:t>根据甲方提供的所委托采购项目符合法律法规规定的具体技术、服务、商务等要求编制采购文件并提交甲方确认，负责印刷、发售、发布、解释采购文件。</w:t>
      </w:r>
    </w:p>
    <w:p>
      <w:pPr>
        <w:pStyle w:val="4"/>
        <w:numPr>
          <w:ilvl w:val="0"/>
          <w:numId w:val="4"/>
        </w:numPr>
        <w:shd w:val="clear" w:color="auto" w:fill="FFFFFF"/>
        <w:spacing w:before="0" w:beforeAutospacing="0" w:after="0" w:afterAutospacing="0"/>
        <w:ind w:firstLine="560" w:firstLineChars="200"/>
        <w:rPr>
          <w:color w:val="auto"/>
          <w:sz w:val="28"/>
          <w:szCs w:val="28"/>
        </w:rPr>
      </w:pPr>
      <w:r>
        <w:rPr>
          <w:color w:val="auto"/>
          <w:sz w:val="28"/>
          <w:szCs w:val="28"/>
        </w:rPr>
        <w:t>乙方应规范使用福建省政府采购网上公开信息系统办理政府采购业务，及时发布采购信息，向潜在的供应商发出邀请。在代理采购项目过程中应按规定或约定的时间，以书面形式向甲方通报采购项目进度情况及相关信息。</w:t>
      </w:r>
    </w:p>
    <w:p>
      <w:pPr>
        <w:pStyle w:val="4"/>
        <w:numPr>
          <w:ilvl w:val="0"/>
          <w:numId w:val="4"/>
        </w:numPr>
        <w:shd w:val="clear" w:color="auto" w:fill="FFFFFF"/>
        <w:spacing w:before="0" w:beforeAutospacing="0" w:after="0" w:afterAutospacing="0"/>
        <w:ind w:firstLine="560" w:firstLineChars="200"/>
        <w:rPr>
          <w:color w:val="auto"/>
          <w:sz w:val="28"/>
          <w:szCs w:val="28"/>
        </w:rPr>
      </w:pPr>
      <w:r>
        <w:rPr>
          <w:color w:val="auto"/>
          <w:sz w:val="28"/>
          <w:szCs w:val="28"/>
        </w:rPr>
        <w:t>接受甲方委托按法律法规规定收取、保管、退还、缴交采购文件费用、竞争性谈判、询价保证金等费用。并按照甲方授权，依据相关法律法规规定，自中标通知书发出之日起5个工作日内，在乙方确认不存在（视为）串通投标等不予退回保证金情形（含采购文件约定不予退还保证金情形）的前提下，通过系统自动退还未中标人的投标保证金；自采购合同签订之日起5个工作日内，在乙方确认不存在（视为）串通投标等不予退回保证金情形（含采购文件约定不予退还保证金情形）的前提下，通过系统自动退还中标人的投标保证金或者转为中标人的履约保证金。存在不予退还保证金情形的，在乙方向甲方报送确认中标结果通知书时，由甲方向乙方开具非税票据，并授权乙方协助收缴违规投标人的保证金至国库。</w:t>
      </w:r>
    </w:p>
    <w:p>
      <w:pPr>
        <w:pStyle w:val="4"/>
        <w:numPr>
          <w:ilvl w:val="0"/>
          <w:numId w:val="4"/>
        </w:numPr>
        <w:shd w:val="clear" w:color="auto" w:fill="FFFFFF"/>
        <w:spacing w:before="0" w:beforeAutospacing="0" w:after="0" w:afterAutospacing="0"/>
        <w:ind w:firstLine="560" w:firstLineChars="200"/>
        <w:rPr>
          <w:color w:val="auto"/>
          <w:sz w:val="28"/>
          <w:szCs w:val="28"/>
        </w:rPr>
      </w:pPr>
      <w:r>
        <w:rPr>
          <w:color w:val="auto"/>
          <w:sz w:val="28"/>
          <w:szCs w:val="28"/>
        </w:rPr>
        <w:t>负责组织开标、评标（谈判，询价），做好采购过程的记录。按采购文件规定依法组织采购项目的评标委员会接受供应商报价，组织审查报价方资格，按公平、公正的原则确定中标（成交）人。</w:t>
      </w:r>
    </w:p>
    <w:p>
      <w:pPr>
        <w:pStyle w:val="4"/>
        <w:numPr>
          <w:ilvl w:val="0"/>
          <w:numId w:val="4"/>
        </w:numPr>
        <w:shd w:val="clear" w:color="auto" w:fill="FFFFFF"/>
        <w:spacing w:before="0" w:beforeAutospacing="0" w:after="0" w:afterAutospacing="0"/>
        <w:ind w:firstLine="560" w:firstLineChars="200"/>
        <w:rPr>
          <w:color w:val="auto"/>
          <w:sz w:val="28"/>
          <w:szCs w:val="28"/>
        </w:rPr>
      </w:pPr>
      <w:r>
        <w:rPr>
          <w:color w:val="auto"/>
          <w:sz w:val="28"/>
          <w:szCs w:val="28"/>
        </w:rPr>
        <w:t>及时提请甲方对采购文件和采购结果的确认。</w:t>
      </w:r>
    </w:p>
    <w:p>
      <w:pPr>
        <w:pStyle w:val="4"/>
        <w:numPr>
          <w:ilvl w:val="0"/>
          <w:numId w:val="4"/>
        </w:numPr>
        <w:shd w:val="clear" w:color="auto" w:fill="FFFFFF"/>
        <w:spacing w:before="0" w:beforeAutospacing="0" w:after="0" w:afterAutospacing="0"/>
        <w:ind w:firstLine="560" w:firstLineChars="200"/>
        <w:rPr>
          <w:color w:val="auto"/>
          <w:sz w:val="28"/>
          <w:szCs w:val="28"/>
        </w:rPr>
      </w:pPr>
      <w:r>
        <w:rPr>
          <w:color w:val="auto"/>
          <w:sz w:val="28"/>
          <w:szCs w:val="28"/>
        </w:rPr>
        <w:t>按国家和省级有关规定，将采购文件送采购人存档，报政府采购监管部门备案。</w:t>
      </w:r>
    </w:p>
    <w:p>
      <w:pPr>
        <w:pStyle w:val="4"/>
        <w:numPr>
          <w:ilvl w:val="0"/>
          <w:numId w:val="4"/>
        </w:numPr>
        <w:shd w:val="clear" w:color="auto" w:fill="FFFFFF"/>
        <w:spacing w:before="0" w:beforeAutospacing="0" w:after="0" w:afterAutospacing="0"/>
        <w:ind w:firstLine="560" w:firstLineChars="200"/>
        <w:rPr>
          <w:color w:val="auto"/>
          <w:sz w:val="28"/>
          <w:szCs w:val="28"/>
        </w:rPr>
      </w:pPr>
      <w:r>
        <w:rPr>
          <w:color w:val="auto"/>
          <w:sz w:val="28"/>
          <w:szCs w:val="28"/>
        </w:rPr>
        <w:t>根据甲方的确认采购结果情况，向中标（成交）人和采购单位发出《中标（成交）通知书》和《采购结果通知书》。</w:t>
      </w:r>
    </w:p>
    <w:p>
      <w:pPr>
        <w:pStyle w:val="4"/>
        <w:numPr>
          <w:ilvl w:val="0"/>
          <w:numId w:val="4"/>
        </w:numPr>
        <w:shd w:val="clear" w:color="auto" w:fill="FFFFFF"/>
        <w:spacing w:before="0" w:beforeAutospacing="0" w:after="0" w:afterAutospacing="0"/>
        <w:ind w:firstLine="560" w:firstLineChars="200"/>
        <w:rPr>
          <w:color w:val="auto"/>
          <w:sz w:val="28"/>
          <w:szCs w:val="28"/>
        </w:rPr>
      </w:pPr>
      <w:r>
        <w:rPr>
          <w:color w:val="auto"/>
          <w:sz w:val="28"/>
          <w:szCs w:val="28"/>
        </w:rPr>
        <w:t>根据采购人委托在规定的时间内及时组织采购人与中标或者成交供应商签订政府采购合同，及时协助采购人对采购项目进行验收。</w:t>
      </w:r>
    </w:p>
    <w:p>
      <w:pPr>
        <w:pStyle w:val="4"/>
        <w:numPr>
          <w:ilvl w:val="0"/>
          <w:numId w:val="4"/>
        </w:numPr>
        <w:shd w:val="clear" w:color="auto" w:fill="FFFFFF"/>
        <w:spacing w:before="0" w:beforeAutospacing="0" w:after="0" w:afterAutospacing="0"/>
        <w:ind w:firstLine="560" w:firstLineChars="200"/>
        <w:rPr>
          <w:color w:val="auto"/>
          <w:sz w:val="28"/>
          <w:szCs w:val="28"/>
        </w:rPr>
      </w:pPr>
      <w:r>
        <w:rPr>
          <w:color w:val="auto"/>
          <w:sz w:val="28"/>
          <w:szCs w:val="28"/>
        </w:rPr>
        <w:t>有权拒绝甲方不符合法律法规规定的要求，如无法协商解决，乙方可以中止此协议。</w:t>
      </w:r>
    </w:p>
    <w:p>
      <w:pPr>
        <w:pStyle w:val="4"/>
        <w:numPr>
          <w:ilvl w:val="0"/>
          <w:numId w:val="4"/>
        </w:numPr>
        <w:shd w:val="clear" w:color="auto" w:fill="FFFFFF"/>
        <w:spacing w:before="0" w:beforeAutospacing="0" w:after="0" w:afterAutospacing="0"/>
        <w:ind w:firstLine="560" w:firstLineChars="200"/>
        <w:rPr>
          <w:color w:val="auto"/>
          <w:sz w:val="28"/>
          <w:szCs w:val="28"/>
        </w:rPr>
      </w:pPr>
      <w:r>
        <w:rPr>
          <w:color w:val="auto"/>
          <w:sz w:val="28"/>
          <w:szCs w:val="28"/>
        </w:rPr>
        <w:t>乙方收到供应商询问、质疑时，应及时书面告知甲方，并按照协议约定依法书面答复质疑人或协助甲方处理质疑。</w:t>
      </w:r>
    </w:p>
    <w:p>
      <w:pPr>
        <w:pStyle w:val="4"/>
        <w:numPr>
          <w:ilvl w:val="0"/>
          <w:numId w:val="4"/>
        </w:numPr>
        <w:shd w:val="clear" w:color="auto" w:fill="FFFFFF"/>
        <w:spacing w:before="0" w:beforeAutospacing="0" w:after="0" w:afterAutospacing="0"/>
        <w:ind w:firstLine="560" w:firstLineChars="200"/>
        <w:rPr>
          <w:color w:val="auto"/>
          <w:sz w:val="28"/>
          <w:szCs w:val="28"/>
        </w:rPr>
      </w:pPr>
      <w:r>
        <w:rPr>
          <w:color w:val="auto"/>
          <w:sz w:val="28"/>
          <w:szCs w:val="28"/>
        </w:rPr>
        <w:t>乙方应在本协议约定的期限内完成委托事项。如因任何原因导致乙方不能按时完成委托事项，乙方应在原因发生之日起</w:t>
      </w:r>
      <w:r>
        <w:rPr>
          <w:rFonts w:hint="eastAsia"/>
          <w:color w:val="auto"/>
          <w:sz w:val="28"/>
          <w:szCs w:val="28"/>
          <w:u w:val="single"/>
        </w:rPr>
        <w:t>5</w:t>
      </w:r>
      <w:r>
        <w:rPr>
          <w:color w:val="auto"/>
          <w:sz w:val="28"/>
          <w:szCs w:val="28"/>
        </w:rPr>
        <w:t>日内通知甲方，并采取必要的补救措施。在采购过程中，如因不可抗力、废标和中标或成交供应商放弃中标或成交结果等非乙方责任导致采购活动失败，乙方不承担责任。</w:t>
      </w:r>
    </w:p>
    <w:p>
      <w:pPr>
        <w:pStyle w:val="4"/>
        <w:numPr>
          <w:ilvl w:val="0"/>
          <w:numId w:val="4"/>
        </w:numPr>
        <w:shd w:val="clear" w:color="auto" w:fill="FFFFFF"/>
        <w:spacing w:before="0" w:beforeAutospacing="0" w:after="0" w:afterAutospacing="0"/>
        <w:ind w:firstLine="560" w:firstLineChars="200"/>
        <w:rPr>
          <w:color w:val="auto"/>
          <w:sz w:val="28"/>
          <w:szCs w:val="28"/>
        </w:rPr>
      </w:pPr>
      <w:r>
        <w:rPr>
          <w:color w:val="auto"/>
          <w:sz w:val="28"/>
          <w:szCs w:val="28"/>
        </w:rPr>
        <w:t>乙方对政府采购项目每项采购活动的采购文件应当妥善保存，不得伪造、变造、隐匿或者销毁。采购文件的保存期限为从采购结束之日起至少保存十五年。乙方如有发生代理机构注销时，应当向甲方移交档案。</w:t>
      </w:r>
    </w:p>
    <w:p>
      <w:pPr>
        <w:pStyle w:val="4"/>
        <w:numPr>
          <w:ilvl w:val="0"/>
          <w:numId w:val="4"/>
        </w:numPr>
        <w:shd w:val="clear" w:color="auto" w:fill="FFFFFF"/>
        <w:spacing w:before="0" w:beforeAutospacing="0" w:after="0" w:afterAutospacing="0"/>
        <w:ind w:firstLine="560" w:firstLineChars="200"/>
        <w:rPr>
          <w:color w:val="auto"/>
          <w:sz w:val="28"/>
          <w:szCs w:val="28"/>
        </w:rPr>
      </w:pPr>
      <w:r>
        <w:rPr>
          <w:color w:val="auto"/>
          <w:sz w:val="28"/>
          <w:szCs w:val="28"/>
        </w:rPr>
        <w:t>乙方应对政府采购项目中涉及的商业秘密负有保密义务，不得将可能影响采购项目公正性的信息透露给利害关系人。</w:t>
      </w:r>
    </w:p>
    <w:p>
      <w:pPr>
        <w:pStyle w:val="4"/>
        <w:numPr>
          <w:ilvl w:val="0"/>
          <w:numId w:val="1"/>
        </w:numPr>
        <w:shd w:val="clear" w:color="auto" w:fill="FFFFFF"/>
        <w:spacing w:before="0" w:beforeAutospacing="0" w:after="0" w:afterAutospacing="0"/>
        <w:ind w:firstLine="560" w:firstLineChars="200"/>
        <w:rPr>
          <w:color w:val="auto"/>
          <w:sz w:val="28"/>
          <w:szCs w:val="28"/>
        </w:rPr>
      </w:pPr>
      <w:r>
        <w:rPr>
          <w:color w:val="auto"/>
          <w:sz w:val="28"/>
          <w:szCs w:val="28"/>
        </w:rPr>
        <w:t>委托协议的变更和终止</w:t>
      </w:r>
    </w:p>
    <w:p>
      <w:pPr>
        <w:pStyle w:val="4"/>
        <w:shd w:val="clear" w:color="auto" w:fill="FFFFFF"/>
        <w:spacing w:before="0" w:beforeAutospacing="0" w:after="0" w:afterAutospacing="0"/>
        <w:ind w:firstLine="560" w:firstLineChars="200"/>
        <w:rPr>
          <w:color w:val="auto"/>
          <w:sz w:val="28"/>
          <w:szCs w:val="28"/>
        </w:rPr>
      </w:pPr>
      <w:r>
        <w:rPr>
          <w:color w:val="auto"/>
          <w:sz w:val="28"/>
          <w:szCs w:val="28"/>
        </w:rPr>
        <w:t>甲乙双方在协商一致的情况下，可以在法律许可范围内对委托协议内容做出变更；如因政策原因，致使采购项目发生更改，本协议应作相应变更或终止。甲方若有违反法律法规规定的需求，经乙方书面告知仍不同意纠正的，乙方可书面提出终止本协议，经双方协商一致后解除协议。乙方在接受甲方委托期间，应保证具备代理政府采购业务的条件，受到财政部门禁止代理政府采购业务处罚的，对于尚未开始执行的项目，本协议终止；对于已经开始执行的项目，本协议终止。</w:t>
      </w:r>
    </w:p>
    <w:p>
      <w:pPr>
        <w:pStyle w:val="4"/>
        <w:numPr>
          <w:ilvl w:val="0"/>
          <w:numId w:val="1"/>
        </w:numPr>
        <w:shd w:val="clear" w:color="auto" w:fill="FFFFFF"/>
        <w:spacing w:before="0" w:beforeAutospacing="0" w:after="0" w:afterAutospacing="0"/>
        <w:ind w:firstLine="560" w:firstLineChars="200"/>
        <w:rPr>
          <w:color w:val="auto"/>
          <w:sz w:val="28"/>
          <w:szCs w:val="28"/>
        </w:rPr>
      </w:pPr>
      <w:r>
        <w:rPr>
          <w:color w:val="auto"/>
          <w:sz w:val="28"/>
          <w:szCs w:val="28"/>
        </w:rPr>
        <w:t>违约责任</w:t>
      </w:r>
    </w:p>
    <w:p>
      <w:pPr>
        <w:pStyle w:val="4"/>
        <w:shd w:val="clear" w:color="auto" w:fill="FFFFFF"/>
        <w:spacing w:before="0" w:beforeAutospacing="0" w:after="0" w:afterAutospacing="0"/>
        <w:ind w:firstLine="560" w:firstLineChars="200"/>
        <w:rPr>
          <w:color w:val="auto"/>
          <w:sz w:val="28"/>
          <w:szCs w:val="28"/>
        </w:rPr>
      </w:pPr>
      <w:r>
        <w:rPr>
          <w:color w:val="auto"/>
          <w:sz w:val="28"/>
          <w:szCs w:val="28"/>
        </w:rPr>
        <w:t>甲乙双方应遵守法律法规和本协议规定，否则，将承担相应的法律责任。因违约造成经济损失的，由违约方承担。 </w:t>
      </w:r>
    </w:p>
    <w:p>
      <w:pPr>
        <w:pStyle w:val="4"/>
        <w:shd w:val="clear" w:color="auto" w:fill="FFFFFF"/>
        <w:spacing w:before="0" w:beforeAutospacing="0" w:after="0" w:afterAutospacing="0"/>
        <w:ind w:firstLine="560" w:firstLineChars="200"/>
        <w:rPr>
          <w:color w:val="auto"/>
          <w:sz w:val="28"/>
          <w:szCs w:val="28"/>
        </w:rPr>
      </w:pPr>
      <w:r>
        <w:rPr>
          <w:color w:val="auto"/>
          <w:sz w:val="28"/>
          <w:szCs w:val="28"/>
        </w:rPr>
        <w:t>八、代理服务费用  </w:t>
      </w:r>
    </w:p>
    <w:p>
      <w:pPr>
        <w:pStyle w:val="4"/>
        <w:shd w:val="clear" w:color="auto" w:fill="FFFFFF"/>
        <w:spacing w:before="0" w:beforeAutospacing="0" w:after="0" w:afterAutospacing="0"/>
        <w:ind w:firstLine="560" w:firstLineChars="200"/>
        <w:rPr>
          <w:color w:val="auto"/>
          <w:sz w:val="28"/>
          <w:szCs w:val="28"/>
        </w:rPr>
      </w:pPr>
      <w:r>
        <w:rPr>
          <w:color w:val="auto"/>
          <w:sz w:val="28"/>
          <w:szCs w:val="28"/>
        </w:rPr>
        <w:t>1、代理费用由供应商支付，</w:t>
      </w:r>
      <w:r>
        <w:rPr>
          <w:rFonts w:hint="eastAsia"/>
          <w:color w:val="auto"/>
          <w:sz w:val="28"/>
          <w:szCs w:val="28"/>
          <w:lang w:val="en-US" w:eastAsia="zh-CN"/>
        </w:rPr>
        <w:t>按5000元包干计取</w:t>
      </w:r>
      <w:r>
        <w:rPr>
          <w:rFonts w:hint="eastAsia"/>
          <w:color w:val="auto"/>
          <w:sz w:val="28"/>
          <w:szCs w:val="28"/>
        </w:rPr>
        <w:t>。</w:t>
      </w:r>
    </w:p>
    <w:tbl>
      <w:tblPr>
        <w:tblStyle w:val="5"/>
        <w:tblW w:w="81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2337"/>
        <w:gridCol w:w="1915"/>
        <w:gridCol w:w="2007"/>
        <w:gridCol w:w="1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632" w:hRule="atLeast"/>
          <w:jc w:val="center"/>
        </w:trPr>
        <w:tc>
          <w:tcPr>
            <w:tcW w:w="1905" w:type="dxa"/>
            <w:shd w:val="clear" w:color="auto" w:fill="FFFFFF"/>
            <w:tcMar>
              <w:top w:w="30" w:type="dxa"/>
              <w:left w:w="150" w:type="dxa"/>
              <w:bottom w:w="30" w:type="dxa"/>
              <w:right w:w="150" w:type="dxa"/>
            </w:tcMar>
            <w:vAlign w:val="center"/>
          </w:tcPr>
          <w:p>
            <w:pPr>
              <w:pStyle w:val="4"/>
              <w:spacing w:before="0" w:beforeAutospacing="0" w:after="150" w:afterAutospacing="0" w:line="360" w:lineRule="atLeast"/>
              <w:rPr>
                <w:color w:val="auto"/>
              </w:rPr>
            </w:pPr>
            <w:r>
              <w:rPr>
                <w:rStyle w:val="7"/>
                <w:rFonts w:hint="eastAsia"/>
                <w:color w:val="auto"/>
                <w:sz w:val="18"/>
                <w:szCs w:val="18"/>
              </w:rPr>
              <w:t>中标（成交）金额</w:t>
            </w:r>
            <w:r>
              <w:rPr>
                <w:rStyle w:val="7"/>
                <w:color w:val="auto"/>
              </w:rPr>
              <w:t> </w:t>
            </w:r>
            <w:r>
              <w:rPr>
                <w:rStyle w:val="7"/>
                <w:rFonts w:hint="eastAsia"/>
                <w:color w:val="auto"/>
                <w:sz w:val="18"/>
                <w:szCs w:val="18"/>
              </w:rPr>
              <w:t>（人民币</w:t>
            </w:r>
            <w:r>
              <w:rPr>
                <w:rStyle w:val="7"/>
                <w:rFonts w:ascii="Arial" w:hAnsi="Arial" w:cs="Arial"/>
                <w:color w:val="auto"/>
                <w:sz w:val="18"/>
                <w:szCs w:val="18"/>
              </w:rPr>
              <w:t>  </w:t>
            </w:r>
            <w:r>
              <w:rPr>
                <w:rStyle w:val="7"/>
                <w:rFonts w:hint="eastAsia"/>
                <w:color w:val="auto"/>
                <w:sz w:val="18"/>
                <w:szCs w:val="18"/>
              </w:rPr>
              <w:t>万元）</w:t>
            </w:r>
          </w:p>
        </w:tc>
        <w:tc>
          <w:tcPr>
            <w:tcW w:w="1560" w:type="dxa"/>
            <w:shd w:val="clear" w:color="auto" w:fill="FFFFFF"/>
            <w:tcMar>
              <w:top w:w="30" w:type="dxa"/>
              <w:left w:w="150" w:type="dxa"/>
              <w:bottom w:w="30" w:type="dxa"/>
              <w:right w:w="150" w:type="dxa"/>
            </w:tcMar>
            <w:vAlign w:val="center"/>
          </w:tcPr>
          <w:p>
            <w:pPr>
              <w:pStyle w:val="4"/>
              <w:spacing w:before="0" w:beforeAutospacing="0" w:after="150" w:afterAutospacing="0" w:line="360" w:lineRule="atLeast"/>
              <w:rPr>
                <w:color w:val="auto"/>
              </w:rPr>
            </w:pPr>
            <w:r>
              <w:rPr>
                <w:rStyle w:val="7"/>
                <w:rFonts w:hint="eastAsia"/>
                <w:color w:val="auto"/>
                <w:sz w:val="18"/>
                <w:szCs w:val="18"/>
              </w:rPr>
              <w:t>货物采购费率</w:t>
            </w:r>
          </w:p>
        </w:tc>
        <w:tc>
          <w:tcPr>
            <w:tcW w:w="1635" w:type="dxa"/>
            <w:shd w:val="clear" w:color="auto" w:fill="FFFFFF"/>
            <w:tcMar>
              <w:top w:w="30" w:type="dxa"/>
              <w:left w:w="150" w:type="dxa"/>
              <w:bottom w:w="30" w:type="dxa"/>
              <w:right w:w="150" w:type="dxa"/>
            </w:tcMar>
            <w:vAlign w:val="center"/>
          </w:tcPr>
          <w:p>
            <w:pPr>
              <w:pStyle w:val="4"/>
              <w:spacing w:before="0" w:beforeAutospacing="0" w:after="150" w:afterAutospacing="0" w:line="360" w:lineRule="atLeast"/>
              <w:rPr>
                <w:color w:val="auto"/>
              </w:rPr>
            </w:pPr>
            <w:r>
              <w:rPr>
                <w:rStyle w:val="7"/>
                <w:rFonts w:hint="eastAsia"/>
                <w:color w:val="auto"/>
                <w:sz w:val="18"/>
                <w:szCs w:val="18"/>
              </w:rPr>
              <w:t>服务采购费率</w:t>
            </w:r>
          </w:p>
        </w:tc>
        <w:tc>
          <w:tcPr>
            <w:tcW w:w="1500" w:type="dxa"/>
            <w:shd w:val="clear" w:color="auto" w:fill="FFFFFF"/>
            <w:tcMar>
              <w:top w:w="30" w:type="dxa"/>
              <w:left w:w="150" w:type="dxa"/>
              <w:bottom w:w="30" w:type="dxa"/>
              <w:right w:w="150" w:type="dxa"/>
            </w:tcMar>
            <w:vAlign w:val="center"/>
          </w:tcPr>
          <w:p>
            <w:pPr>
              <w:pStyle w:val="4"/>
              <w:spacing w:before="0" w:beforeAutospacing="0" w:after="150" w:afterAutospacing="0" w:line="360" w:lineRule="atLeast"/>
              <w:rPr>
                <w:color w:val="auto"/>
              </w:rPr>
            </w:pPr>
            <w:r>
              <w:rPr>
                <w:rStyle w:val="7"/>
                <w:rFonts w:hint="eastAsia"/>
                <w:color w:val="auto"/>
                <w:sz w:val="18"/>
                <w:szCs w:val="18"/>
              </w:rPr>
              <w:t>工程采购费率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30" w:hRule="atLeast"/>
          <w:jc w:val="center"/>
        </w:trPr>
        <w:tc>
          <w:tcPr>
            <w:tcW w:w="1905" w:type="dxa"/>
            <w:shd w:val="clear" w:color="auto" w:fill="FFFFFF"/>
            <w:tcMar>
              <w:top w:w="30" w:type="dxa"/>
              <w:left w:w="150" w:type="dxa"/>
              <w:bottom w:w="30" w:type="dxa"/>
              <w:right w:w="150" w:type="dxa"/>
            </w:tcMar>
            <w:vAlign w:val="center"/>
          </w:tcPr>
          <w:p>
            <w:pPr>
              <w:pStyle w:val="4"/>
              <w:spacing w:before="0" w:beforeAutospacing="0" w:after="150" w:afterAutospacing="0" w:line="360" w:lineRule="atLeast"/>
              <w:rPr>
                <w:color w:val="auto"/>
              </w:rPr>
            </w:pPr>
            <w:r>
              <w:rPr>
                <w:rFonts w:ascii="Arial" w:hAnsi="Arial" w:cs="Arial"/>
                <w:color w:val="auto"/>
                <w:sz w:val="18"/>
                <w:szCs w:val="18"/>
              </w:rPr>
              <w:t>100</w:t>
            </w:r>
            <w:r>
              <w:rPr>
                <w:rFonts w:hint="eastAsia"/>
                <w:color w:val="auto"/>
                <w:sz w:val="18"/>
                <w:szCs w:val="18"/>
              </w:rPr>
              <w:t>以下</w:t>
            </w:r>
          </w:p>
        </w:tc>
        <w:tc>
          <w:tcPr>
            <w:tcW w:w="1560" w:type="dxa"/>
            <w:shd w:val="clear" w:color="auto" w:fill="FFFFFF"/>
            <w:tcMar>
              <w:top w:w="30" w:type="dxa"/>
              <w:left w:w="150" w:type="dxa"/>
              <w:bottom w:w="30" w:type="dxa"/>
              <w:right w:w="150" w:type="dxa"/>
            </w:tcMar>
            <w:vAlign w:val="center"/>
          </w:tcPr>
          <w:p>
            <w:pPr>
              <w:pStyle w:val="4"/>
              <w:spacing w:before="0" w:beforeAutospacing="0" w:after="150" w:afterAutospacing="0" w:line="360" w:lineRule="atLeast"/>
              <w:rPr>
                <w:color w:val="auto"/>
              </w:rPr>
            </w:pPr>
            <w:r>
              <w:rPr>
                <w:rFonts w:ascii="Arial" w:hAnsi="Arial" w:cs="Arial"/>
                <w:color w:val="auto"/>
                <w:sz w:val="18"/>
                <w:szCs w:val="18"/>
              </w:rPr>
              <w:t>1.5%</w:t>
            </w:r>
          </w:p>
        </w:tc>
        <w:tc>
          <w:tcPr>
            <w:tcW w:w="1635" w:type="dxa"/>
            <w:shd w:val="clear" w:color="auto" w:fill="FFFFFF"/>
            <w:tcMar>
              <w:top w:w="30" w:type="dxa"/>
              <w:left w:w="150" w:type="dxa"/>
              <w:bottom w:w="30" w:type="dxa"/>
              <w:right w:w="150" w:type="dxa"/>
            </w:tcMar>
            <w:vAlign w:val="center"/>
          </w:tcPr>
          <w:p>
            <w:pPr>
              <w:pStyle w:val="4"/>
              <w:spacing w:before="0" w:beforeAutospacing="0" w:after="150" w:afterAutospacing="0" w:line="360" w:lineRule="atLeast"/>
              <w:rPr>
                <w:color w:val="auto"/>
              </w:rPr>
            </w:pPr>
            <w:r>
              <w:rPr>
                <w:rFonts w:ascii="Arial" w:hAnsi="Arial" w:cs="Arial"/>
                <w:color w:val="auto"/>
                <w:sz w:val="18"/>
                <w:szCs w:val="18"/>
              </w:rPr>
              <w:t>1.5%</w:t>
            </w:r>
          </w:p>
        </w:tc>
        <w:tc>
          <w:tcPr>
            <w:tcW w:w="900" w:type="dxa"/>
            <w:shd w:val="clear" w:color="auto" w:fill="FFFFFF"/>
            <w:tcMar>
              <w:top w:w="30" w:type="dxa"/>
              <w:left w:w="150" w:type="dxa"/>
              <w:bottom w:w="30" w:type="dxa"/>
              <w:right w:w="150" w:type="dxa"/>
            </w:tcMar>
            <w:vAlign w:val="center"/>
          </w:tcPr>
          <w:p>
            <w:pPr>
              <w:pStyle w:val="4"/>
              <w:spacing w:before="0" w:beforeAutospacing="0" w:after="150" w:afterAutospacing="0" w:line="360" w:lineRule="atLeast"/>
              <w:rPr>
                <w:color w:val="auto"/>
              </w:rPr>
            </w:pPr>
            <w:r>
              <w:rPr>
                <w:rFonts w:ascii="Arial" w:hAnsi="Arial" w:cs="Arial"/>
                <w:color w:val="auto"/>
                <w:sz w:val="18"/>
                <w:szCs w:val="18"/>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30" w:hRule="atLeast"/>
          <w:jc w:val="center"/>
        </w:trPr>
        <w:tc>
          <w:tcPr>
            <w:tcW w:w="1905" w:type="dxa"/>
            <w:shd w:val="clear" w:color="auto" w:fill="FFFFFF"/>
            <w:tcMar>
              <w:top w:w="30" w:type="dxa"/>
              <w:left w:w="150" w:type="dxa"/>
              <w:bottom w:w="30" w:type="dxa"/>
              <w:right w:w="150" w:type="dxa"/>
            </w:tcMar>
            <w:vAlign w:val="center"/>
          </w:tcPr>
          <w:p>
            <w:pPr>
              <w:pStyle w:val="4"/>
              <w:spacing w:before="0" w:beforeAutospacing="0" w:after="150" w:afterAutospacing="0" w:line="360" w:lineRule="atLeast"/>
              <w:rPr>
                <w:color w:val="auto"/>
              </w:rPr>
            </w:pPr>
            <w:r>
              <w:rPr>
                <w:rFonts w:ascii="Arial" w:hAnsi="Arial" w:cs="Arial"/>
                <w:color w:val="auto"/>
                <w:sz w:val="18"/>
                <w:szCs w:val="18"/>
              </w:rPr>
              <w:t>100-500</w:t>
            </w:r>
          </w:p>
        </w:tc>
        <w:tc>
          <w:tcPr>
            <w:tcW w:w="1560" w:type="dxa"/>
            <w:shd w:val="clear" w:color="auto" w:fill="FFFFFF"/>
            <w:tcMar>
              <w:top w:w="30" w:type="dxa"/>
              <w:left w:w="150" w:type="dxa"/>
              <w:bottom w:w="30" w:type="dxa"/>
              <w:right w:w="150" w:type="dxa"/>
            </w:tcMar>
            <w:vAlign w:val="center"/>
          </w:tcPr>
          <w:p>
            <w:pPr>
              <w:pStyle w:val="4"/>
              <w:spacing w:before="0" w:beforeAutospacing="0" w:after="150" w:afterAutospacing="0" w:line="360" w:lineRule="atLeast"/>
              <w:rPr>
                <w:color w:val="auto"/>
              </w:rPr>
            </w:pPr>
            <w:r>
              <w:rPr>
                <w:rFonts w:ascii="Arial" w:hAnsi="Arial" w:cs="Arial"/>
                <w:color w:val="auto"/>
                <w:sz w:val="18"/>
                <w:szCs w:val="18"/>
              </w:rPr>
              <w:t>1.1%</w:t>
            </w:r>
          </w:p>
        </w:tc>
        <w:tc>
          <w:tcPr>
            <w:tcW w:w="1635" w:type="dxa"/>
            <w:shd w:val="clear" w:color="auto" w:fill="FFFFFF"/>
            <w:tcMar>
              <w:top w:w="30" w:type="dxa"/>
              <w:left w:w="150" w:type="dxa"/>
              <w:bottom w:w="30" w:type="dxa"/>
              <w:right w:w="150" w:type="dxa"/>
            </w:tcMar>
            <w:vAlign w:val="center"/>
          </w:tcPr>
          <w:p>
            <w:pPr>
              <w:pStyle w:val="4"/>
              <w:spacing w:before="0" w:beforeAutospacing="0" w:after="150" w:afterAutospacing="0" w:line="360" w:lineRule="atLeast"/>
              <w:rPr>
                <w:color w:val="auto"/>
              </w:rPr>
            </w:pPr>
            <w:r>
              <w:rPr>
                <w:rFonts w:ascii="Arial" w:hAnsi="Arial" w:cs="Arial"/>
                <w:color w:val="auto"/>
                <w:sz w:val="18"/>
                <w:szCs w:val="18"/>
              </w:rPr>
              <w:t>0.8%</w:t>
            </w:r>
          </w:p>
        </w:tc>
        <w:tc>
          <w:tcPr>
            <w:tcW w:w="900" w:type="dxa"/>
            <w:shd w:val="clear" w:color="auto" w:fill="FFFFFF"/>
            <w:tcMar>
              <w:top w:w="30" w:type="dxa"/>
              <w:left w:w="150" w:type="dxa"/>
              <w:bottom w:w="30" w:type="dxa"/>
              <w:right w:w="150" w:type="dxa"/>
            </w:tcMar>
            <w:vAlign w:val="center"/>
          </w:tcPr>
          <w:p>
            <w:pPr>
              <w:pStyle w:val="4"/>
              <w:spacing w:before="0" w:beforeAutospacing="0" w:after="150" w:afterAutospacing="0" w:line="360" w:lineRule="atLeast"/>
              <w:rPr>
                <w:color w:val="auto"/>
              </w:rPr>
            </w:pPr>
            <w:r>
              <w:rPr>
                <w:rFonts w:ascii="Arial" w:hAnsi="Arial" w:cs="Arial"/>
                <w:color w:val="auto"/>
                <w:sz w:val="18"/>
                <w:szCs w:val="18"/>
              </w:rPr>
              <w:t>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30" w:hRule="atLeast"/>
          <w:jc w:val="center"/>
        </w:trPr>
        <w:tc>
          <w:tcPr>
            <w:tcW w:w="1905" w:type="dxa"/>
            <w:shd w:val="clear" w:color="auto" w:fill="FFFFFF"/>
            <w:tcMar>
              <w:top w:w="30" w:type="dxa"/>
              <w:left w:w="150" w:type="dxa"/>
              <w:bottom w:w="30" w:type="dxa"/>
              <w:right w:w="150" w:type="dxa"/>
            </w:tcMar>
            <w:vAlign w:val="center"/>
          </w:tcPr>
          <w:p>
            <w:pPr>
              <w:pStyle w:val="4"/>
              <w:spacing w:before="0" w:beforeAutospacing="0" w:after="150" w:afterAutospacing="0" w:line="360" w:lineRule="atLeast"/>
              <w:rPr>
                <w:color w:val="auto"/>
              </w:rPr>
            </w:pPr>
            <w:r>
              <w:rPr>
                <w:rFonts w:ascii="Arial" w:hAnsi="Arial" w:cs="Arial"/>
                <w:color w:val="auto"/>
                <w:sz w:val="18"/>
                <w:szCs w:val="18"/>
              </w:rPr>
              <w:t>500-1000</w:t>
            </w:r>
          </w:p>
        </w:tc>
        <w:tc>
          <w:tcPr>
            <w:tcW w:w="1560" w:type="dxa"/>
            <w:shd w:val="clear" w:color="auto" w:fill="FFFFFF"/>
            <w:tcMar>
              <w:top w:w="30" w:type="dxa"/>
              <w:left w:w="150" w:type="dxa"/>
              <w:bottom w:w="30" w:type="dxa"/>
              <w:right w:w="150" w:type="dxa"/>
            </w:tcMar>
            <w:vAlign w:val="center"/>
          </w:tcPr>
          <w:p>
            <w:pPr>
              <w:pStyle w:val="4"/>
              <w:spacing w:before="0" w:beforeAutospacing="0" w:after="150" w:afterAutospacing="0" w:line="360" w:lineRule="atLeast"/>
              <w:rPr>
                <w:color w:val="auto"/>
              </w:rPr>
            </w:pPr>
            <w:r>
              <w:rPr>
                <w:rFonts w:ascii="Arial" w:hAnsi="Arial" w:cs="Arial"/>
                <w:color w:val="auto"/>
                <w:sz w:val="18"/>
                <w:szCs w:val="18"/>
              </w:rPr>
              <w:t>0.8%</w:t>
            </w:r>
          </w:p>
        </w:tc>
        <w:tc>
          <w:tcPr>
            <w:tcW w:w="1635" w:type="dxa"/>
            <w:shd w:val="clear" w:color="auto" w:fill="FFFFFF"/>
            <w:tcMar>
              <w:top w:w="30" w:type="dxa"/>
              <w:left w:w="150" w:type="dxa"/>
              <w:bottom w:w="30" w:type="dxa"/>
              <w:right w:w="150" w:type="dxa"/>
            </w:tcMar>
            <w:vAlign w:val="center"/>
          </w:tcPr>
          <w:p>
            <w:pPr>
              <w:pStyle w:val="4"/>
              <w:spacing w:before="0" w:beforeAutospacing="0" w:after="150" w:afterAutospacing="0" w:line="360" w:lineRule="atLeast"/>
              <w:rPr>
                <w:color w:val="auto"/>
              </w:rPr>
            </w:pPr>
            <w:r>
              <w:rPr>
                <w:rFonts w:ascii="Arial" w:hAnsi="Arial" w:cs="Arial"/>
                <w:color w:val="auto"/>
                <w:sz w:val="18"/>
                <w:szCs w:val="18"/>
              </w:rPr>
              <w:t>0.45%</w:t>
            </w:r>
          </w:p>
        </w:tc>
        <w:tc>
          <w:tcPr>
            <w:tcW w:w="900" w:type="dxa"/>
            <w:shd w:val="clear" w:color="auto" w:fill="FFFFFF"/>
            <w:tcMar>
              <w:top w:w="30" w:type="dxa"/>
              <w:left w:w="150" w:type="dxa"/>
              <w:bottom w:w="30" w:type="dxa"/>
              <w:right w:w="150" w:type="dxa"/>
            </w:tcMar>
            <w:vAlign w:val="center"/>
          </w:tcPr>
          <w:p>
            <w:pPr>
              <w:pStyle w:val="4"/>
              <w:spacing w:before="0" w:beforeAutospacing="0" w:after="150" w:afterAutospacing="0" w:line="360" w:lineRule="atLeast"/>
              <w:rPr>
                <w:color w:val="auto"/>
              </w:rPr>
            </w:pPr>
            <w:r>
              <w:rPr>
                <w:rFonts w:ascii="Arial" w:hAnsi="Arial" w:cs="Arial"/>
                <w:color w:val="auto"/>
                <w:sz w:val="18"/>
                <w:szCs w:val="18"/>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30" w:hRule="atLeast"/>
          <w:jc w:val="center"/>
        </w:trPr>
        <w:tc>
          <w:tcPr>
            <w:tcW w:w="1905" w:type="dxa"/>
            <w:shd w:val="clear" w:color="auto" w:fill="FFFFFF"/>
            <w:tcMar>
              <w:top w:w="30" w:type="dxa"/>
              <w:left w:w="150" w:type="dxa"/>
              <w:bottom w:w="30" w:type="dxa"/>
              <w:right w:w="150" w:type="dxa"/>
            </w:tcMar>
            <w:vAlign w:val="center"/>
          </w:tcPr>
          <w:p>
            <w:pPr>
              <w:pStyle w:val="4"/>
              <w:spacing w:before="0" w:beforeAutospacing="0" w:after="150" w:afterAutospacing="0" w:line="360" w:lineRule="atLeast"/>
              <w:rPr>
                <w:color w:val="auto"/>
              </w:rPr>
            </w:pPr>
            <w:r>
              <w:rPr>
                <w:rFonts w:ascii="Arial" w:hAnsi="Arial" w:cs="Arial"/>
                <w:color w:val="auto"/>
                <w:sz w:val="18"/>
                <w:szCs w:val="18"/>
              </w:rPr>
              <w:t>1000-5000</w:t>
            </w:r>
          </w:p>
        </w:tc>
        <w:tc>
          <w:tcPr>
            <w:tcW w:w="1560" w:type="dxa"/>
            <w:shd w:val="clear" w:color="auto" w:fill="FFFFFF"/>
            <w:tcMar>
              <w:top w:w="30" w:type="dxa"/>
              <w:left w:w="150" w:type="dxa"/>
              <w:bottom w:w="30" w:type="dxa"/>
              <w:right w:w="150" w:type="dxa"/>
            </w:tcMar>
            <w:vAlign w:val="center"/>
          </w:tcPr>
          <w:p>
            <w:pPr>
              <w:pStyle w:val="4"/>
              <w:spacing w:before="0" w:beforeAutospacing="0" w:after="150" w:afterAutospacing="0" w:line="360" w:lineRule="atLeast"/>
              <w:rPr>
                <w:color w:val="auto"/>
              </w:rPr>
            </w:pPr>
            <w:r>
              <w:rPr>
                <w:rFonts w:ascii="Arial" w:hAnsi="Arial" w:cs="Arial"/>
                <w:color w:val="auto"/>
                <w:sz w:val="18"/>
                <w:szCs w:val="18"/>
              </w:rPr>
              <w:t>0.5%</w:t>
            </w:r>
          </w:p>
        </w:tc>
        <w:tc>
          <w:tcPr>
            <w:tcW w:w="1635" w:type="dxa"/>
            <w:shd w:val="clear" w:color="auto" w:fill="FFFFFF"/>
            <w:tcMar>
              <w:top w:w="30" w:type="dxa"/>
              <w:left w:w="150" w:type="dxa"/>
              <w:bottom w:w="30" w:type="dxa"/>
              <w:right w:w="150" w:type="dxa"/>
            </w:tcMar>
            <w:vAlign w:val="center"/>
          </w:tcPr>
          <w:p>
            <w:pPr>
              <w:pStyle w:val="4"/>
              <w:spacing w:before="0" w:beforeAutospacing="0" w:after="150" w:afterAutospacing="0" w:line="360" w:lineRule="atLeast"/>
              <w:rPr>
                <w:color w:val="auto"/>
              </w:rPr>
            </w:pPr>
            <w:r>
              <w:rPr>
                <w:rFonts w:ascii="Arial" w:hAnsi="Arial" w:cs="Arial"/>
                <w:color w:val="auto"/>
                <w:sz w:val="18"/>
                <w:szCs w:val="18"/>
              </w:rPr>
              <w:t>0.25%</w:t>
            </w:r>
          </w:p>
        </w:tc>
        <w:tc>
          <w:tcPr>
            <w:tcW w:w="900" w:type="dxa"/>
            <w:shd w:val="clear" w:color="auto" w:fill="FFFFFF"/>
            <w:tcMar>
              <w:top w:w="30" w:type="dxa"/>
              <w:left w:w="150" w:type="dxa"/>
              <w:bottom w:w="30" w:type="dxa"/>
              <w:right w:w="150" w:type="dxa"/>
            </w:tcMar>
            <w:vAlign w:val="center"/>
          </w:tcPr>
          <w:p>
            <w:pPr>
              <w:pStyle w:val="4"/>
              <w:spacing w:before="0" w:beforeAutospacing="0" w:after="150" w:afterAutospacing="0" w:line="360" w:lineRule="atLeast"/>
              <w:rPr>
                <w:color w:val="auto"/>
              </w:rPr>
            </w:pPr>
            <w:r>
              <w:rPr>
                <w:rFonts w:ascii="Arial" w:hAnsi="Arial" w:cs="Arial"/>
                <w:color w:val="auto"/>
                <w:sz w:val="18"/>
                <w:szCs w:val="18"/>
              </w:rPr>
              <w:t>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30" w:hRule="atLeast"/>
          <w:jc w:val="center"/>
        </w:trPr>
        <w:tc>
          <w:tcPr>
            <w:tcW w:w="1905" w:type="dxa"/>
            <w:shd w:val="clear" w:color="auto" w:fill="FFFFFF"/>
            <w:tcMar>
              <w:top w:w="30" w:type="dxa"/>
              <w:left w:w="150" w:type="dxa"/>
              <w:bottom w:w="30" w:type="dxa"/>
              <w:right w:w="150" w:type="dxa"/>
            </w:tcMar>
            <w:vAlign w:val="center"/>
          </w:tcPr>
          <w:p>
            <w:pPr>
              <w:pStyle w:val="4"/>
              <w:spacing w:before="0" w:beforeAutospacing="0" w:after="150" w:afterAutospacing="0" w:line="360" w:lineRule="atLeast"/>
              <w:rPr>
                <w:color w:val="auto"/>
              </w:rPr>
            </w:pPr>
            <w:r>
              <w:rPr>
                <w:rFonts w:ascii="Arial" w:hAnsi="Arial" w:cs="Arial"/>
                <w:color w:val="auto"/>
                <w:sz w:val="18"/>
                <w:szCs w:val="18"/>
              </w:rPr>
              <w:t>5000-10000</w:t>
            </w:r>
          </w:p>
        </w:tc>
        <w:tc>
          <w:tcPr>
            <w:tcW w:w="1560" w:type="dxa"/>
            <w:shd w:val="clear" w:color="auto" w:fill="FFFFFF"/>
            <w:tcMar>
              <w:top w:w="30" w:type="dxa"/>
              <w:left w:w="150" w:type="dxa"/>
              <w:bottom w:w="30" w:type="dxa"/>
              <w:right w:w="150" w:type="dxa"/>
            </w:tcMar>
            <w:vAlign w:val="center"/>
          </w:tcPr>
          <w:p>
            <w:pPr>
              <w:pStyle w:val="4"/>
              <w:spacing w:before="0" w:beforeAutospacing="0" w:after="150" w:afterAutospacing="0" w:line="360" w:lineRule="atLeast"/>
              <w:rPr>
                <w:color w:val="auto"/>
              </w:rPr>
            </w:pPr>
            <w:r>
              <w:rPr>
                <w:rFonts w:ascii="Arial" w:hAnsi="Arial" w:cs="Arial"/>
                <w:color w:val="auto"/>
                <w:sz w:val="18"/>
                <w:szCs w:val="18"/>
              </w:rPr>
              <w:t>0.25%</w:t>
            </w:r>
          </w:p>
        </w:tc>
        <w:tc>
          <w:tcPr>
            <w:tcW w:w="1635" w:type="dxa"/>
            <w:shd w:val="clear" w:color="auto" w:fill="FFFFFF"/>
            <w:tcMar>
              <w:top w:w="30" w:type="dxa"/>
              <w:left w:w="150" w:type="dxa"/>
              <w:bottom w:w="30" w:type="dxa"/>
              <w:right w:w="150" w:type="dxa"/>
            </w:tcMar>
            <w:vAlign w:val="center"/>
          </w:tcPr>
          <w:p>
            <w:pPr>
              <w:pStyle w:val="4"/>
              <w:spacing w:before="0" w:beforeAutospacing="0" w:after="150" w:afterAutospacing="0" w:line="360" w:lineRule="atLeast"/>
              <w:rPr>
                <w:color w:val="auto"/>
              </w:rPr>
            </w:pPr>
            <w:r>
              <w:rPr>
                <w:rFonts w:ascii="Arial" w:hAnsi="Arial" w:cs="Arial"/>
                <w:color w:val="auto"/>
                <w:sz w:val="18"/>
                <w:szCs w:val="18"/>
              </w:rPr>
              <w:t>0.1%</w:t>
            </w:r>
          </w:p>
        </w:tc>
        <w:tc>
          <w:tcPr>
            <w:tcW w:w="900" w:type="dxa"/>
            <w:shd w:val="clear" w:color="auto" w:fill="FFFFFF"/>
            <w:tcMar>
              <w:top w:w="30" w:type="dxa"/>
              <w:left w:w="150" w:type="dxa"/>
              <w:bottom w:w="30" w:type="dxa"/>
              <w:right w:w="150" w:type="dxa"/>
            </w:tcMar>
            <w:vAlign w:val="center"/>
          </w:tcPr>
          <w:p>
            <w:pPr>
              <w:pStyle w:val="4"/>
              <w:spacing w:before="0" w:beforeAutospacing="0" w:after="150" w:afterAutospacing="0" w:line="360" w:lineRule="atLeast"/>
              <w:rPr>
                <w:color w:val="auto"/>
              </w:rPr>
            </w:pPr>
            <w:r>
              <w:rPr>
                <w:rFonts w:ascii="Arial" w:hAnsi="Arial" w:cs="Arial"/>
                <w:color w:val="auto"/>
                <w:sz w:val="18"/>
                <w:szCs w:val="18"/>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30" w:hRule="atLeast"/>
          <w:jc w:val="center"/>
        </w:trPr>
        <w:tc>
          <w:tcPr>
            <w:tcW w:w="1905" w:type="dxa"/>
            <w:shd w:val="clear" w:color="auto" w:fill="FFFFFF"/>
            <w:tcMar>
              <w:top w:w="30" w:type="dxa"/>
              <w:left w:w="150" w:type="dxa"/>
              <w:bottom w:w="30" w:type="dxa"/>
              <w:right w:w="150" w:type="dxa"/>
            </w:tcMar>
            <w:vAlign w:val="center"/>
          </w:tcPr>
          <w:p>
            <w:pPr>
              <w:pStyle w:val="4"/>
              <w:spacing w:before="0" w:beforeAutospacing="0" w:after="150" w:afterAutospacing="0" w:line="360" w:lineRule="atLeast"/>
              <w:rPr>
                <w:color w:val="auto"/>
              </w:rPr>
            </w:pPr>
            <w:r>
              <w:rPr>
                <w:rFonts w:ascii="Arial" w:hAnsi="Arial" w:cs="Arial"/>
                <w:color w:val="auto"/>
                <w:sz w:val="18"/>
                <w:szCs w:val="18"/>
              </w:rPr>
              <w:t>1</w:t>
            </w:r>
            <w:r>
              <w:rPr>
                <w:rFonts w:hint="eastAsia"/>
                <w:color w:val="auto"/>
                <w:sz w:val="18"/>
                <w:szCs w:val="18"/>
              </w:rPr>
              <w:t>亿～</w:t>
            </w:r>
            <w:r>
              <w:rPr>
                <w:rFonts w:ascii="Arial" w:hAnsi="Arial" w:cs="Arial"/>
                <w:color w:val="auto"/>
                <w:sz w:val="18"/>
                <w:szCs w:val="18"/>
              </w:rPr>
              <w:t>5</w:t>
            </w:r>
            <w:r>
              <w:rPr>
                <w:rFonts w:hint="eastAsia"/>
                <w:color w:val="auto"/>
                <w:sz w:val="18"/>
                <w:szCs w:val="18"/>
              </w:rPr>
              <w:t>亿</w:t>
            </w:r>
          </w:p>
        </w:tc>
        <w:tc>
          <w:tcPr>
            <w:tcW w:w="1560" w:type="dxa"/>
            <w:shd w:val="clear" w:color="auto" w:fill="FFFFFF"/>
            <w:tcMar>
              <w:top w:w="30" w:type="dxa"/>
              <w:left w:w="150" w:type="dxa"/>
              <w:bottom w:w="30" w:type="dxa"/>
              <w:right w:w="150" w:type="dxa"/>
            </w:tcMar>
            <w:vAlign w:val="center"/>
          </w:tcPr>
          <w:p>
            <w:pPr>
              <w:pStyle w:val="4"/>
              <w:spacing w:before="0" w:beforeAutospacing="0" w:after="150" w:afterAutospacing="0" w:line="360" w:lineRule="atLeast"/>
              <w:rPr>
                <w:color w:val="auto"/>
              </w:rPr>
            </w:pPr>
            <w:r>
              <w:rPr>
                <w:rFonts w:ascii="Arial" w:hAnsi="Arial" w:cs="Arial"/>
                <w:color w:val="auto"/>
                <w:sz w:val="18"/>
                <w:szCs w:val="18"/>
              </w:rPr>
              <w:t>0.05%</w:t>
            </w:r>
          </w:p>
        </w:tc>
        <w:tc>
          <w:tcPr>
            <w:tcW w:w="1635" w:type="dxa"/>
            <w:shd w:val="clear" w:color="auto" w:fill="FFFFFF"/>
            <w:tcMar>
              <w:top w:w="30" w:type="dxa"/>
              <w:left w:w="150" w:type="dxa"/>
              <w:bottom w:w="30" w:type="dxa"/>
              <w:right w:w="150" w:type="dxa"/>
            </w:tcMar>
            <w:vAlign w:val="center"/>
          </w:tcPr>
          <w:p>
            <w:pPr>
              <w:pStyle w:val="4"/>
              <w:spacing w:before="0" w:beforeAutospacing="0" w:after="150" w:afterAutospacing="0" w:line="360" w:lineRule="atLeast"/>
              <w:rPr>
                <w:color w:val="auto"/>
              </w:rPr>
            </w:pPr>
            <w:r>
              <w:rPr>
                <w:rFonts w:ascii="Arial" w:hAnsi="Arial" w:cs="Arial"/>
                <w:color w:val="auto"/>
                <w:sz w:val="18"/>
                <w:szCs w:val="18"/>
              </w:rPr>
              <w:t>0.05%</w:t>
            </w:r>
          </w:p>
        </w:tc>
        <w:tc>
          <w:tcPr>
            <w:tcW w:w="900" w:type="dxa"/>
            <w:shd w:val="clear" w:color="auto" w:fill="FFFFFF"/>
            <w:tcMar>
              <w:top w:w="30" w:type="dxa"/>
              <w:left w:w="150" w:type="dxa"/>
              <w:bottom w:w="30" w:type="dxa"/>
              <w:right w:w="150" w:type="dxa"/>
            </w:tcMar>
            <w:vAlign w:val="center"/>
          </w:tcPr>
          <w:p>
            <w:pPr>
              <w:pStyle w:val="4"/>
              <w:spacing w:before="0" w:beforeAutospacing="0" w:after="150" w:afterAutospacing="0" w:line="360" w:lineRule="atLeast"/>
              <w:rPr>
                <w:color w:val="auto"/>
              </w:rPr>
            </w:pPr>
            <w:r>
              <w:rPr>
                <w:rFonts w:ascii="Arial" w:hAnsi="Arial" w:cs="Arial"/>
                <w:color w:val="auto"/>
                <w:sz w:val="18"/>
                <w:szCs w:val="18"/>
              </w:rPr>
              <w:t>0.05%</w:t>
            </w:r>
          </w:p>
        </w:tc>
      </w:tr>
    </w:tbl>
    <w:p>
      <w:pPr>
        <w:rPr>
          <w:vanish/>
          <w:color w:val="auto"/>
          <w:sz w:val="24"/>
          <w:szCs w:val="24"/>
        </w:rPr>
      </w:pPr>
    </w:p>
    <w:tbl>
      <w:tblPr>
        <w:tblStyle w:val="5"/>
        <w:tblW w:w="81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15" w:type="dxa"/>
          <w:left w:w="15" w:type="dxa"/>
          <w:bottom w:w="15" w:type="dxa"/>
          <w:right w:w="15" w:type="dxa"/>
        </w:tblCellMar>
      </w:tblPr>
      <w:tblGrid>
        <w:gridCol w:w="2335"/>
        <w:gridCol w:w="1910"/>
        <w:gridCol w:w="2010"/>
        <w:gridCol w:w="18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30" w:hRule="atLeast"/>
          <w:jc w:val="center"/>
        </w:trPr>
        <w:tc>
          <w:tcPr>
            <w:tcW w:w="2335" w:type="dxa"/>
            <w:shd w:val="clear" w:color="auto" w:fill="FFFFFF"/>
            <w:tcMar>
              <w:top w:w="30" w:type="dxa"/>
              <w:left w:w="150" w:type="dxa"/>
              <w:bottom w:w="30" w:type="dxa"/>
              <w:right w:w="150" w:type="dxa"/>
            </w:tcMar>
          </w:tcPr>
          <w:p>
            <w:pPr>
              <w:pStyle w:val="4"/>
              <w:spacing w:before="0" w:beforeAutospacing="0" w:after="150" w:afterAutospacing="0" w:line="360" w:lineRule="atLeast"/>
              <w:rPr>
                <w:color w:val="auto"/>
              </w:rPr>
            </w:pPr>
            <w:r>
              <w:rPr>
                <w:rFonts w:ascii="Arial" w:hAnsi="Arial" w:cs="Arial"/>
                <w:color w:val="auto"/>
                <w:sz w:val="18"/>
                <w:szCs w:val="18"/>
              </w:rPr>
              <w:t>5</w:t>
            </w:r>
            <w:r>
              <w:rPr>
                <w:rFonts w:hint="eastAsia"/>
                <w:color w:val="auto"/>
                <w:sz w:val="18"/>
                <w:szCs w:val="18"/>
              </w:rPr>
              <w:t>亿～</w:t>
            </w:r>
            <w:r>
              <w:rPr>
                <w:rFonts w:ascii="Arial" w:hAnsi="Arial" w:cs="Arial"/>
                <w:color w:val="auto"/>
                <w:sz w:val="18"/>
                <w:szCs w:val="18"/>
              </w:rPr>
              <w:t>10</w:t>
            </w:r>
            <w:r>
              <w:rPr>
                <w:rFonts w:hint="eastAsia"/>
                <w:color w:val="auto"/>
                <w:sz w:val="18"/>
                <w:szCs w:val="18"/>
              </w:rPr>
              <w:t>亿</w:t>
            </w:r>
          </w:p>
        </w:tc>
        <w:tc>
          <w:tcPr>
            <w:tcW w:w="1910" w:type="dxa"/>
            <w:shd w:val="clear" w:color="auto" w:fill="FFFFFF"/>
            <w:tcMar>
              <w:top w:w="30" w:type="dxa"/>
              <w:left w:w="150" w:type="dxa"/>
              <w:bottom w:w="30" w:type="dxa"/>
              <w:right w:w="150" w:type="dxa"/>
            </w:tcMar>
          </w:tcPr>
          <w:p>
            <w:pPr>
              <w:pStyle w:val="4"/>
              <w:spacing w:before="0" w:beforeAutospacing="0" w:after="150" w:afterAutospacing="0" w:line="360" w:lineRule="atLeast"/>
              <w:rPr>
                <w:color w:val="auto"/>
              </w:rPr>
            </w:pPr>
            <w:r>
              <w:rPr>
                <w:rFonts w:ascii="Arial" w:hAnsi="Arial" w:cs="Arial"/>
                <w:color w:val="auto"/>
                <w:sz w:val="18"/>
                <w:szCs w:val="18"/>
              </w:rPr>
              <w:t>0.035%</w:t>
            </w:r>
          </w:p>
        </w:tc>
        <w:tc>
          <w:tcPr>
            <w:tcW w:w="2010" w:type="dxa"/>
            <w:shd w:val="clear" w:color="auto" w:fill="FFFFFF"/>
            <w:tcMar>
              <w:top w:w="30" w:type="dxa"/>
              <w:left w:w="150" w:type="dxa"/>
              <w:bottom w:w="30" w:type="dxa"/>
              <w:right w:w="150" w:type="dxa"/>
            </w:tcMar>
          </w:tcPr>
          <w:p>
            <w:pPr>
              <w:pStyle w:val="4"/>
              <w:spacing w:before="0" w:beforeAutospacing="0" w:after="150" w:afterAutospacing="0" w:line="360" w:lineRule="atLeast"/>
              <w:rPr>
                <w:color w:val="auto"/>
              </w:rPr>
            </w:pPr>
            <w:r>
              <w:rPr>
                <w:rFonts w:ascii="Arial" w:hAnsi="Arial" w:cs="Arial"/>
                <w:color w:val="auto"/>
                <w:sz w:val="18"/>
                <w:szCs w:val="18"/>
              </w:rPr>
              <w:t>0.035%</w:t>
            </w:r>
          </w:p>
        </w:tc>
        <w:tc>
          <w:tcPr>
            <w:tcW w:w="1850" w:type="dxa"/>
            <w:shd w:val="clear" w:color="auto" w:fill="FFFFFF"/>
            <w:tcMar>
              <w:top w:w="30" w:type="dxa"/>
              <w:left w:w="150" w:type="dxa"/>
              <w:bottom w:w="30" w:type="dxa"/>
              <w:right w:w="150" w:type="dxa"/>
            </w:tcMar>
          </w:tcPr>
          <w:p>
            <w:pPr>
              <w:pStyle w:val="4"/>
              <w:spacing w:before="0" w:beforeAutospacing="0" w:after="150" w:afterAutospacing="0" w:line="360" w:lineRule="atLeast"/>
              <w:rPr>
                <w:color w:val="auto"/>
              </w:rPr>
            </w:pPr>
            <w:r>
              <w:rPr>
                <w:rFonts w:ascii="Arial" w:hAnsi="Arial" w:cs="Arial"/>
                <w:color w:val="auto"/>
                <w:sz w:val="18"/>
                <w:szCs w:val="18"/>
              </w:rPr>
              <w:t>0.035%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30" w:hRule="atLeast"/>
          <w:jc w:val="center"/>
        </w:trPr>
        <w:tc>
          <w:tcPr>
            <w:tcW w:w="2335" w:type="dxa"/>
            <w:shd w:val="clear" w:color="auto" w:fill="FFFFFF"/>
            <w:tcMar>
              <w:top w:w="30" w:type="dxa"/>
              <w:left w:w="150" w:type="dxa"/>
              <w:bottom w:w="30" w:type="dxa"/>
              <w:right w:w="150" w:type="dxa"/>
            </w:tcMar>
          </w:tcPr>
          <w:p>
            <w:pPr>
              <w:pStyle w:val="4"/>
              <w:spacing w:before="0" w:beforeAutospacing="0" w:after="150" w:afterAutospacing="0" w:line="360" w:lineRule="atLeast"/>
              <w:rPr>
                <w:color w:val="auto"/>
              </w:rPr>
            </w:pPr>
            <w:r>
              <w:rPr>
                <w:rFonts w:ascii="Arial" w:hAnsi="Arial" w:cs="Arial"/>
                <w:color w:val="auto"/>
                <w:sz w:val="18"/>
                <w:szCs w:val="18"/>
              </w:rPr>
              <w:t>10</w:t>
            </w:r>
            <w:r>
              <w:rPr>
                <w:rFonts w:hint="eastAsia"/>
                <w:color w:val="auto"/>
                <w:sz w:val="18"/>
                <w:szCs w:val="18"/>
              </w:rPr>
              <w:t>亿～</w:t>
            </w:r>
            <w:r>
              <w:rPr>
                <w:rFonts w:ascii="Arial" w:hAnsi="Arial" w:cs="Arial"/>
                <w:color w:val="auto"/>
                <w:sz w:val="18"/>
                <w:szCs w:val="18"/>
              </w:rPr>
              <w:t>50</w:t>
            </w:r>
            <w:r>
              <w:rPr>
                <w:rFonts w:hint="eastAsia"/>
                <w:color w:val="auto"/>
                <w:sz w:val="18"/>
                <w:szCs w:val="18"/>
              </w:rPr>
              <w:t>亿</w:t>
            </w:r>
          </w:p>
        </w:tc>
        <w:tc>
          <w:tcPr>
            <w:tcW w:w="1910" w:type="dxa"/>
            <w:shd w:val="clear" w:color="auto" w:fill="FFFFFF"/>
            <w:tcMar>
              <w:top w:w="30" w:type="dxa"/>
              <w:left w:w="150" w:type="dxa"/>
              <w:bottom w:w="30" w:type="dxa"/>
              <w:right w:w="150" w:type="dxa"/>
            </w:tcMar>
          </w:tcPr>
          <w:p>
            <w:pPr>
              <w:pStyle w:val="4"/>
              <w:spacing w:before="0" w:beforeAutospacing="0" w:after="150" w:afterAutospacing="0" w:line="360" w:lineRule="atLeast"/>
              <w:rPr>
                <w:color w:val="auto"/>
              </w:rPr>
            </w:pPr>
            <w:r>
              <w:rPr>
                <w:rFonts w:ascii="Arial" w:hAnsi="Arial" w:cs="Arial"/>
                <w:color w:val="auto"/>
                <w:sz w:val="18"/>
                <w:szCs w:val="18"/>
              </w:rPr>
              <w:t>0.008%</w:t>
            </w:r>
          </w:p>
        </w:tc>
        <w:tc>
          <w:tcPr>
            <w:tcW w:w="2010" w:type="dxa"/>
            <w:shd w:val="clear" w:color="auto" w:fill="FFFFFF"/>
            <w:tcMar>
              <w:top w:w="30" w:type="dxa"/>
              <w:left w:w="150" w:type="dxa"/>
              <w:bottom w:w="30" w:type="dxa"/>
              <w:right w:w="150" w:type="dxa"/>
            </w:tcMar>
          </w:tcPr>
          <w:p>
            <w:pPr>
              <w:pStyle w:val="4"/>
              <w:spacing w:before="0" w:beforeAutospacing="0" w:after="150" w:afterAutospacing="0" w:line="360" w:lineRule="atLeast"/>
              <w:rPr>
                <w:color w:val="auto"/>
              </w:rPr>
            </w:pPr>
            <w:r>
              <w:rPr>
                <w:rFonts w:ascii="Arial" w:hAnsi="Arial" w:cs="Arial"/>
                <w:color w:val="auto"/>
                <w:sz w:val="18"/>
                <w:szCs w:val="18"/>
              </w:rPr>
              <w:t>0.008%</w:t>
            </w:r>
          </w:p>
        </w:tc>
        <w:tc>
          <w:tcPr>
            <w:tcW w:w="1850" w:type="dxa"/>
            <w:shd w:val="clear" w:color="auto" w:fill="FFFFFF"/>
            <w:tcMar>
              <w:top w:w="30" w:type="dxa"/>
              <w:left w:w="150" w:type="dxa"/>
              <w:bottom w:w="30" w:type="dxa"/>
              <w:right w:w="150" w:type="dxa"/>
            </w:tcMar>
          </w:tcPr>
          <w:p>
            <w:pPr>
              <w:pStyle w:val="4"/>
              <w:spacing w:before="0" w:beforeAutospacing="0" w:after="150" w:afterAutospacing="0" w:line="360" w:lineRule="atLeast"/>
              <w:rPr>
                <w:color w:val="auto"/>
              </w:rPr>
            </w:pPr>
            <w:r>
              <w:rPr>
                <w:rFonts w:ascii="Arial" w:hAnsi="Arial" w:cs="Arial"/>
                <w:color w:val="auto"/>
                <w:sz w:val="18"/>
                <w:szCs w:val="18"/>
              </w:rPr>
              <w:t>0.008%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30" w:hRule="atLeast"/>
          <w:jc w:val="center"/>
        </w:trPr>
        <w:tc>
          <w:tcPr>
            <w:tcW w:w="2335" w:type="dxa"/>
            <w:shd w:val="clear" w:color="auto" w:fill="FFFFFF"/>
            <w:tcMar>
              <w:top w:w="30" w:type="dxa"/>
              <w:left w:w="150" w:type="dxa"/>
              <w:bottom w:w="30" w:type="dxa"/>
              <w:right w:w="150" w:type="dxa"/>
            </w:tcMar>
          </w:tcPr>
          <w:p>
            <w:pPr>
              <w:pStyle w:val="4"/>
              <w:spacing w:before="0" w:beforeAutospacing="0" w:after="150" w:afterAutospacing="0" w:line="360" w:lineRule="atLeast"/>
              <w:rPr>
                <w:color w:val="auto"/>
              </w:rPr>
            </w:pPr>
            <w:r>
              <w:rPr>
                <w:rFonts w:ascii="Arial" w:hAnsi="Arial" w:cs="Arial"/>
                <w:color w:val="auto"/>
                <w:sz w:val="18"/>
                <w:szCs w:val="18"/>
              </w:rPr>
              <w:t>50</w:t>
            </w:r>
            <w:r>
              <w:rPr>
                <w:rFonts w:hint="eastAsia"/>
                <w:color w:val="auto"/>
                <w:sz w:val="18"/>
                <w:szCs w:val="18"/>
              </w:rPr>
              <w:t>亿～</w:t>
            </w:r>
            <w:r>
              <w:rPr>
                <w:rFonts w:ascii="Arial" w:hAnsi="Arial" w:cs="Arial"/>
                <w:color w:val="auto"/>
                <w:sz w:val="18"/>
                <w:szCs w:val="18"/>
              </w:rPr>
              <w:t>100</w:t>
            </w:r>
            <w:r>
              <w:rPr>
                <w:rFonts w:hint="eastAsia"/>
                <w:color w:val="auto"/>
                <w:sz w:val="18"/>
                <w:szCs w:val="18"/>
              </w:rPr>
              <w:t>亿</w:t>
            </w:r>
          </w:p>
        </w:tc>
        <w:tc>
          <w:tcPr>
            <w:tcW w:w="1910" w:type="dxa"/>
            <w:shd w:val="clear" w:color="auto" w:fill="FFFFFF"/>
            <w:tcMar>
              <w:top w:w="30" w:type="dxa"/>
              <w:left w:w="150" w:type="dxa"/>
              <w:bottom w:w="30" w:type="dxa"/>
              <w:right w:w="150" w:type="dxa"/>
            </w:tcMar>
          </w:tcPr>
          <w:p>
            <w:pPr>
              <w:pStyle w:val="4"/>
              <w:spacing w:before="0" w:beforeAutospacing="0" w:after="150" w:afterAutospacing="0" w:line="360" w:lineRule="atLeast"/>
              <w:rPr>
                <w:color w:val="auto"/>
              </w:rPr>
            </w:pPr>
            <w:r>
              <w:rPr>
                <w:rFonts w:ascii="Arial" w:hAnsi="Arial" w:cs="Arial"/>
                <w:color w:val="auto"/>
                <w:sz w:val="18"/>
                <w:szCs w:val="18"/>
              </w:rPr>
              <w:t>0.006%</w:t>
            </w:r>
          </w:p>
        </w:tc>
        <w:tc>
          <w:tcPr>
            <w:tcW w:w="2010" w:type="dxa"/>
            <w:shd w:val="clear" w:color="auto" w:fill="FFFFFF"/>
            <w:tcMar>
              <w:top w:w="30" w:type="dxa"/>
              <w:left w:w="150" w:type="dxa"/>
              <w:bottom w:w="30" w:type="dxa"/>
              <w:right w:w="150" w:type="dxa"/>
            </w:tcMar>
          </w:tcPr>
          <w:p>
            <w:pPr>
              <w:pStyle w:val="4"/>
              <w:spacing w:before="0" w:beforeAutospacing="0" w:after="150" w:afterAutospacing="0" w:line="360" w:lineRule="atLeast"/>
              <w:rPr>
                <w:color w:val="auto"/>
              </w:rPr>
            </w:pPr>
            <w:r>
              <w:rPr>
                <w:rFonts w:ascii="Arial" w:hAnsi="Arial" w:cs="Arial"/>
                <w:color w:val="auto"/>
                <w:sz w:val="18"/>
                <w:szCs w:val="18"/>
              </w:rPr>
              <w:t>0.006%</w:t>
            </w:r>
          </w:p>
        </w:tc>
        <w:tc>
          <w:tcPr>
            <w:tcW w:w="1850" w:type="dxa"/>
            <w:shd w:val="clear" w:color="auto" w:fill="FFFFFF"/>
            <w:tcMar>
              <w:top w:w="30" w:type="dxa"/>
              <w:left w:w="150" w:type="dxa"/>
              <w:bottom w:w="30" w:type="dxa"/>
              <w:right w:w="150" w:type="dxa"/>
            </w:tcMar>
          </w:tcPr>
          <w:p>
            <w:pPr>
              <w:pStyle w:val="4"/>
              <w:spacing w:before="0" w:beforeAutospacing="0" w:after="150" w:afterAutospacing="0" w:line="360" w:lineRule="atLeast"/>
              <w:rPr>
                <w:color w:val="auto"/>
              </w:rPr>
            </w:pPr>
            <w:r>
              <w:rPr>
                <w:rFonts w:ascii="Arial" w:hAnsi="Arial" w:cs="Arial"/>
                <w:color w:val="auto"/>
                <w:sz w:val="18"/>
                <w:szCs w:val="18"/>
              </w:rPr>
              <w:t>0.006%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30" w:hRule="atLeast"/>
          <w:jc w:val="center"/>
        </w:trPr>
        <w:tc>
          <w:tcPr>
            <w:tcW w:w="2335" w:type="dxa"/>
            <w:shd w:val="clear" w:color="auto" w:fill="FFFFFF"/>
            <w:tcMar>
              <w:top w:w="30" w:type="dxa"/>
              <w:left w:w="150" w:type="dxa"/>
              <w:bottom w:w="30" w:type="dxa"/>
              <w:right w:w="150" w:type="dxa"/>
            </w:tcMar>
          </w:tcPr>
          <w:p>
            <w:pPr>
              <w:pStyle w:val="4"/>
              <w:spacing w:before="0" w:beforeAutospacing="0" w:after="150" w:afterAutospacing="0" w:line="360" w:lineRule="atLeast"/>
              <w:rPr>
                <w:color w:val="auto"/>
              </w:rPr>
            </w:pPr>
            <w:r>
              <w:rPr>
                <w:rFonts w:ascii="Arial" w:hAnsi="Arial" w:cs="Arial"/>
                <w:color w:val="auto"/>
                <w:sz w:val="18"/>
                <w:szCs w:val="18"/>
              </w:rPr>
              <w:t>100</w:t>
            </w:r>
            <w:r>
              <w:rPr>
                <w:rFonts w:hint="eastAsia"/>
                <w:color w:val="auto"/>
                <w:sz w:val="18"/>
                <w:szCs w:val="18"/>
              </w:rPr>
              <w:t>亿以上</w:t>
            </w:r>
          </w:p>
        </w:tc>
        <w:tc>
          <w:tcPr>
            <w:tcW w:w="1910" w:type="dxa"/>
            <w:shd w:val="clear" w:color="auto" w:fill="FFFFFF"/>
            <w:tcMar>
              <w:top w:w="30" w:type="dxa"/>
              <w:left w:w="150" w:type="dxa"/>
              <w:bottom w:w="30" w:type="dxa"/>
              <w:right w:w="150" w:type="dxa"/>
            </w:tcMar>
          </w:tcPr>
          <w:p>
            <w:pPr>
              <w:pStyle w:val="4"/>
              <w:spacing w:before="0" w:beforeAutospacing="0" w:after="150" w:afterAutospacing="0" w:line="360" w:lineRule="atLeast"/>
              <w:rPr>
                <w:color w:val="auto"/>
              </w:rPr>
            </w:pPr>
            <w:r>
              <w:rPr>
                <w:rFonts w:ascii="Arial" w:hAnsi="Arial" w:cs="Arial"/>
                <w:color w:val="auto"/>
                <w:sz w:val="18"/>
                <w:szCs w:val="18"/>
              </w:rPr>
              <w:t>0.004%</w:t>
            </w:r>
          </w:p>
        </w:tc>
        <w:tc>
          <w:tcPr>
            <w:tcW w:w="2010" w:type="dxa"/>
            <w:shd w:val="clear" w:color="auto" w:fill="FFFFFF"/>
            <w:tcMar>
              <w:top w:w="30" w:type="dxa"/>
              <w:left w:w="150" w:type="dxa"/>
              <w:bottom w:w="30" w:type="dxa"/>
              <w:right w:w="150" w:type="dxa"/>
            </w:tcMar>
          </w:tcPr>
          <w:p>
            <w:pPr>
              <w:pStyle w:val="4"/>
              <w:spacing w:before="0" w:beforeAutospacing="0" w:after="150" w:afterAutospacing="0" w:line="360" w:lineRule="atLeast"/>
              <w:rPr>
                <w:color w:val="auto"/>
              </w:rPr>
            </w:pPr>
            <w:r>
              <w:rPr>
                <w:rFonts w:ascii="Arial" w:hAnsi="Arial" w:cs="Arial"/>
                <w:color w:val="auto"/>
                <w:sz w:val="18"/>
                <w:szCs w:val="18"/>
              </w:rPr>
              <w:t>0.004%</w:t>
            </w:r>
          </w:p>
        </w:tc>
        <w:tc>
          <w:tcPr>
            <w:tcW w:w="1850" w:type="dxa"/>
            <w:shd w:val="clear" w:color="auto" w:fill="FFFFFF"/>
            <w:tcMar>
              <w:top w:w="30" w:type="dxa"/>
              <w:left w:w="150" w:type="dxa"/>
              <w:bottom w:w="30" w:type="dxa"/>
              <w:right w:w="150" w:type="dxa"/>
            </w:tcMar>
          </w:tcPr>
          <w:p>
            <w:pPr>
              <w:pStyle w:val="4"/>
              <w:spacing w:before="0" w:beforeAutospacing="0" w:after="150" w:afterAutospacing="0" w:line="360" w:lineRule="atLeast"/>
              <w:rPr>
                <w:color w:val="auto"/>
              </w:rPr>
            </w:pPr>
            <w:r>
              <w:rPr>
                <w:rFonts w:ascii="Arial" w:hAnsi="Arial" w:cs="Arial"/>
                <w:color w:val="auto"/>
                <w:sz w:val="18"/>
                <w:szCs w:val="18"/>
              </w:rPr>
              <w:t>0.004%</w:t>
            </w:r>
          </w:p>
        </w:tc>
      </w:tr>
    </w:tbl>
    <w:p>
      <w:pPr>
        <w:pStyle w:val="4"/>
        <w:shd w:val="clear" w:color="auto" w:fill="FFFFFF"/>
        <w:spacing w:before="0" w:beforeAutospacing="0" w:after="0" w:afterAutospacing="0" w:line="560" w:lineRule="exact"/>
        <w:ind w:firstLine="560" w:firstLineChars="200"/>
        <w:rPr>
          <w:color w:val="auto"/>
          <w:sz w:val="28"/>
          <w:szCs w:val="28"/>
        </w:rPr>
      </w:pPr>
      <w:r>
        <w:rPr>
          <w:rFonts w:hint="eastAsia"/>
          <w:color w:val="auto"/>
          <w:sz w:val="28"/>
          <w:szCs w:val="28"/>
        </w:rPr>
        <w:t>注：</w:t>
      </w:r>
      <w:r>
        <w:rPr>
          <w:color w:val="auto"/>
          <w:sz w:val="28"/>
          <w:szCs w:val="28"/>
        </w:rPr>
        <w:t>1.</w:t>
      </w:r>
      <w:r>
        <w:rPr>
          <w:rFonts w:hint="eastAsia"/>
          <w:color w:val="auto"/>
          <w:sz w:val="28"/>
          <w:szCs w:val="28"/>
        </w:rPr>
        <w:t>按本表费率计算的收费为招标代理服务全过程的收费基准价格，单独提供编制招标文件（有标底的含标底）服务的，可按规定标准的</w:t>
      </w:r>
      <w:r>
        <w:rPr>
          <w:color w:val="auto"/>
          <w:sz w:val="28"/>
          <w:szCs w:val="28"/>
        </w:rPr>
        <w:t>30%</w:t>
      </w:r>
      <w:r>
        <w:rPr>
          <w:rFonts w:hint="eastAsia"/>
          <w:color w:val="auto"/>
          <w:sz w:val="28"/>
          <w:szCs w:val="28"/>
        </w:rPr>
        <w:t>计收。</w:t>
      </w:r>
    </w:p>
    <w:p>
      <w:pPr>
        <w:pStyle w:val="4"/>
        <w:shd w:val="clear" w:color="auto" w:fill="FFFFFF"/>
        <w:spacing w:before="0" w:beforeAutospacing="0" w:after="0" w:afterAutospacing="0" w:line="560" w:lineRule="exact"/>
        <w:ind w:firstLine="560" w:firstLineChars="200"/>
        <w:rPr>
          <w:color w:val="auto"/>
          <w:sz w:val="28"/>
          <w:szCs w:val="28"/>
        </w:rPr>
      </w:pPr>
      <w:r>
        <w:rPr>
          <w:color w:val="auto"/>
          <w:sz w:val="28"/>
          <w:szCs w:val="28"/>
        </w:rPr>
        <w:t>2.</w:t>
      </w:r>
      <w:r>
        <w:rPr>
          <w:rFonts w:hint="eastAsia"/>
          <w:color w:val="auto"/>
          <w:sz w:val="28"/>
          <w:szCs w:val="28"/>
        </w:rPr>
        <w:t>招标代理服务收费按差额定率累进法计算。例如：某工程招标代理业务中标金额为</w:t>
      </w:r>
      <w:r>
        <w:rPr>
          <w:color w:val="auto"/>
          <w:sz w:val="28"/>
          <w:szCs w:val="28"/>
        </w:rPr>
        <w:t>6000</w:t>
      </w:r>
      <w:r>
        <w:rPr>
          <w:rFonts w:hint="eastAsia"/>
          <w:color w:val="auto"/>
          <w:sz w:val="28"/>
          <w:szCs w:val="28"/>
        </w:rPr>
        <w:t>万元，计算招标代理服务收费额如下：</w:t>
      </w:r>
    </w:p>
    <w:p>
      <w:pPr>
        <w:pStyle w:val="4"/>
        <w:shd w:val="clear" w:color="auto" w:fill="FFFFFF"/>
        <w:spacing w:before="0" w:beforeAutospacing="0" w:after="0" w:afterAutospacing="0" w:line="560" w:lineRule="exact"/>
        <w:ind w:firstLine="560" w:firstLineChars="200"/>
        <w:rPr>
          <w:color w:val="auto"/>
          <w:sz w:val="28"/>
          <w:szCs w:val="28"/>
        </w:rPr>
      </w:pPr>
      <w:r>
        <w:rPr>
          <w:color w:val="auto"/>
          <w:sz w:val="28"/>
          <w:szCs w:val="28"/>
        </w:rPr>
        <w:t>100 </w:t>
      </w:r>
      <w:r>
        <w:rPr>
          <w:rFonts w:hint="eastAsia"/>
          <w:color w:val="auto"/>
          <w:sz w:val="28"/>
          <w:szCs w:val="28"/>
        </w:rPr>
        <w:t>万元×</w:t>
      </w:r>
      <w:r>
        <w:rPr>
          <w:color w:val="auto"/>
          <w:sz w:val="28"/>
          <w:szCs w:val="28"/>
        </w:rPr>
        <w:t>1.00%= 1 </w:t>
      </w:r>
      <w:r>
        <w:rPr>
          <w:rFonts w:hint="eastAsia"/>
          <w:color w:val="auto"/>
          <w:sz w:val="28"/>
          <w:szCs w:val="28"/>
        </w:rPr>
        <w:t>万元</w:t>
      </w:r>
    </w:p>
    <w:p>
      <w:pPr>
        <w:pStyle w:val="4"/>
        <w:shd w:val="clear" w:color="auto" w:fill="FFFFFF"/>
        <w:spacing w:before="0" w:beforeAutospacing="0" w:after="0" w:afterAutospacing="0" w:line="560" w:lineRule="exact"/>
        <w:ind w:firstLine="560" w:firstLineChars="200"/>
        <w:rPr>
          <w:color w:val="auto"/>
          <w:sz w:val="28"/>
          <w:szCs w:val="28"/>
        </w:rPr>
      </w:pPr>
      <w:r>
        <w:rPr>
          <w:rFonts w:hint="eastAsia"/>
          <w:color w:val="auto"/>
          <w:sz w:val="28"/>
          <w:szCs w:val="28"/>
        </w:rPr>
        <w:t>（</w:t>
      </w:r>
      <w:r>
        <w:rPr>
          <w:color w:val="auto"/>
          <w:sz w:val="28"/>
          <w:szCs w:val="28"/>
        </w:rPr>
        <w:t> 500- 100</w:t>
      </w:r>
      <w:r>
        <w:rPr>
          <w:rFonts w:hint="eastAsia"/>
          <w:color w:val="auto"/>
          <w:sz w:val="28"/>
          <w:szCs w:val="28"/>
        </w:rPr>
        <w:t>）万元×</w:t>
      </w:r>
      <w:r>
        <w:rPr>
          <w:color w:val="auto"/>
          <w:sz w:val="28"/>
          <w:szCs w:val="28"/>
        </w:rPr>
        <w:t>0.70%= 2.8</w:t>
      </w:r>
      <w:r>
        <w:rPr>
          <w:rFonts w:hint="eastAsia"/>
          <w:color w:val="auto"/>
          <w:sz w:val="28"/>
          <w:szCs w:val="28"/>
        </w:rPr>
        <w:t>万元</w:t>
      </w:r>
    </w:p>
    <w:p>
      <w:pPr>
        <w:pStyle w:val="4"/>
        <w:shd w:val="clear" w:color="auto" w:fill="FFFFFF"/>
        <w:spacing w:before="0" w:beforeAutospacing="0" w:after="0" w:afterAutospacing="0" w:line="560" w:lineRule="exact"/>
        <w:ind w:firstLine="560" w:firstLineChars="200"/>
        <w:rPr>
          <w:color w:val="auto"/>
          <w:sz w:val="28"/>
          <w:szCs w:val="28"/>
        </w:rPr>
      </w:pPr>
      <w:r>
        <w:rPr>
          <w:rFonts w:hint="eastAsia"/>
          <w:color w:val="auto"/>
          <w:sz w:val="28"/>
          <w:szCs w:val="28"/>
        </w:rPr>
        <w:t>（</w:t>
      </w:r>
      <w:r>
        <w:rPr>
          <w:color w:val="auto"/>
          <w:sz w:val="28"/>
          <w:szCs w:val="28"/>
        </w:rPr>
        <w:t>1000- 500</w:t>
      </w:r>
      <w:r>
        <w:rPr>
          <w:rFonts w:hint="eastAsia"/>
          <w:color w:val="auto"/>
          <w:sz w:val="28"/>
          <w:szCs w:val="28"/>
        </w:rPr>
        <w:t>）万元×</w:t>
      </w:r>
      <w:r>
        <w:rPr>
          <w:color w:val="auto"/>
          <w:sz w:val="28"/>
          <w:szCs w:val="28"/>
        </w:rPr>
        <w:t>0.55%= 2.75</w:t>
      </w:r>
      <w:r>
        <w:rPr>
          <w:rFonts w:hint="eastAsia"/>
          <w:color w:val="auto"/>
          <w:sz w:val="28"/>
          <w:szCs w:val="28"/>
        </w:rPr>
        <w:t>万元</w:t>
      </w:r>
    </w:p>
    <w:p>
      <w:pPr>
        <w:pStyle w:val="4"/>
        <w:shd w:val="clear" w:color="auto" w:fill="FFFFFF"/>
        <w:spacing w:before="0" w:beforeAutospacing="0" w:after="0" w:afterAutospacing="0" w:line="560" w:lineRule="exact"/>
        <w:ind w:firstLine="560" w:firstLineChars="200"/>
        <w:rPr>
          <w:color w:val="auto"/>
          <w:sz w:val="28"/>
          <w:szCs w:val="28"/>
        </w:rPr>
      </w:pPr>
      <w:r>
        <w:rPr>
          <w:rFonts w:hint="eastAsia"/>
          <w:color w:val="auto"/>
          <w:sz w:val="28"/>
          <w:szCs w:val="28"/>
        </w:rPr>
        <w:t>（</w:t>
      </w:r>
      <w:r>
        <w:rPr>
          <w:color w:val="auto"/>
          <w:sz w:val="28"/>
          <w:szCs w:val="28"/>
        </w:rPr>
        <w:t>5000-1000</w:t>
      </w:r>
      <w:r>
        <w:rPr>
          <w:rFonts w:hint="eastAsia"/>
          <w:color w:val="auto"/>
          <w:sz w:val="28"/>
          <w:szCs w:val="28"/>
        </w:rPr>
        <w:t>）万元×</w:t>
      </w:r>
      <w:r>
        <w:rPr>
          <w:color w:val="auto"/>
          <w:sz w:val="28"/>
          <w:szCs w:val="28"/>
        </w:rPr>
        <w:t>0.35%=14</w:t>
      </w:r>
      <w:r>
        <w:rPr>
          <w:rFonts w:hint="eastAsia"/>
          <w:color w:val="auto"/>
          <w:sz w:val="28"/>
          <w:szCs w:val="28"/>
        </w:rPr>
        <w:t>万元</w:t>
      </w:r>
    </w:p>
    <w:p>
      <w:pPr>
        <w:pStyle w:val="4"/>
        <w:shd w:val="clear" w:color="auto" w:fill="FFFFFF"/>
        <w:spacing w:before="0" w:beforeAutospacing="0" w:after="0" w:afterAutospacing="0" w:line="560" w:lineRule="exact"/>
        <w:ind w:firstLine="560" w:firstLineChars="200"/>
        <w:rPr>
          <w:color w:val="auto"/>
          <w:sz w:val="28"/>
          <w:szCs w:val="28"/>
        </w:rPr>
      </w:pPr>
      <w:r>
        <w:rPr>
          <w:rFonts w:hint="eastAsia"/>
          <w:color w:val="auto"/>
          <w:sz w:val="28"/>
          <w:szCs w:val="28"/>
        </w:rPr>
        <w:t>（</w:t>
      </w:r>
      <w:r>
        <w:rPr>
          <w:color w:val="auto"/>
          <w:sz w:val="28"/>
          <w:szCs w:val="28"/>
        </w:rPr>
        <w:t>6000-5000</w:t>
      </w:r>
      <w:r>
        <w:rPr>
          <w:rFonts w:hint="eastAsia"/>
          <w:color w:val="auto"/>
          <w:sz w:val="28"/>
          <w:szCs w:val="28"/>
        </w:rPr>
        <w:t>）万元×</w:t>
      </w:r>
      <w:r>
        <w:rPr>
          <w:color w:val="auto"/>
          <w:sz w:val="28"/>
          <w:szCs w:val="28"/>
        </w:rPr>
        <w:t>0.20%= 2</w:t>
      </w:r>
      <w:r>
        <w:rPr>
          <w:rFonts w:hint="eastAsia"/>
          <w:color w:val="auto"/>
          <w:sz w:val="28"/>
          <w:szCs w:val="28"/>
        </w:rPr>
        <w:t>万元</w:t>
      </w:r>
    </w:p>
    <w:p>
      <w:pPr>
        <w:pStyle w:val="4"/>
        <w:shd w:val="clear" w:color="auto" w:fill="FFFFFF"/>
        <w:spacing w:before="0" w:beforeAutospacing="0" w:after="0" w:afterAutospacing="0" w:line="560" w:lineRule="exact"/>
        <w:ind w:firstLine="560" w:firstLineChars="200"/>
        <w:rPr>
          <w:color w:val="auto"/>
          <w:sz w:val="28"/>
          <w:szCs w:val="28"/>
        </w:rPr>
      </w:pPr>
      <w:r>
        <w:rPr>
          <w:rFonts w:hint="eastAsia"/>
          <w:color w:val="auto"/>
          <w:sz w:val="28"/>
          <w:szCs w:val="28"/>
        </w:rPr>
        <w:t>合计收费</w:t>
      </w:r>
      <w:r>
        <w:rPr>
          <w:color w:val="auto"/>
          <w:sz w:val="28"/>
          <w:szCs w:val="28"/>
        </w:rPr>
        <w:t>=1+2.8+2.75+14+2=22.55</w:t>
      </w:r>
      <w:r>
        <w:rPr>
          <w:rFonts w:hint="eastAsia"/>
          <w:color w:val="auto"/>
          <w:sz w:val="28"/>
          <w:szCs w:val="28"/>
        </w:rPr>
        <w:t>（万元）</w:t>
      </w:r>
    </w:p>
    <w:p>
      <w:pPr>
        <w:pStyle w:val="4"/>
        <w:numPr>
          <w:ilvl w:val="0"/>
          <w:numId w:val="5"/>
        </w:numPr>
        <w:shd w:val="clear" w:color="auto" w:fill="FFFFFF"/>
        <w:spacing w:before="0" w:beforeAutospacing="0" w:after="0" w:afterAutospacing="0" w:line="560" w:lineRule="exact"/>
        <w:ind w:firstLine="560" w:firstLineChars="200"/>
        <w:rPr>
          <w:color w:val="auto"/>
          <w:sz w:val="28"/>
          <w:szCs w:val="28"/>
        </w:rPr>
      </w:pPr>
      <w:r>
        <w:rPr>
          <w:color w:val="auto"/>
          <w:sz w:val="28"/>
          <w:szCs w:val="28"/>
        </w:rPr>
        <w:t>乙方按政府采购相关规定负责组织项目招标采购活动的费用。若因甲方原因产生另外的费用，该费用由甲方承担。</w:t>
      </w:r>
    </w:p>
    <w:p>
      <w:pPr>
        <w:pStyle w:val="4"/>
        <w:numPr>
          <w:ilvl w:val="0"/>
          <w:numId w:val="5"/>
        </w:numPr>
        <w:shd w:val="clear" w:color="auto" w:fill="FFFFFF"/>
        <w:spacing w:before="0" w:beforeAutospacing="0" w:after="0" w:afterAutospacing="0" w:line="560" w:lineRule="exact"/>
        <w:ind w:firstLine="560" w:firstLineChars="200"/>
        <w:rPr>
          <w:color w:val="auto"/>
          <w:sz w:val="28"/>
          <w:szCs w:val="28"/>
        </w:rPr>
      </w:pPr>
      <w:r>
        <w:rPr>
          <w:color w:val="auto"/>
          <w:sz w:val="28"/>
          <w:szCs w:val="28"/>
        </w:rPr>
        <w:t>非集中采购机构采购项目，所产生费用由甲方承担。</w:t>
      </w:r>
    </w:p>
    <w:p>
      <w:pPr>
        <w:pStyle w:val="4"/>
        <w:numPr>
          <w:ilvl w:val="0"/>
          <w:numId w:val="5"/>
        </w:numPr>
        <w:shd w:val="clear" w:color="auto" w:fill="FFFFFF"/>
        <w:spacing w:before="0" w:beforeAutospacing="0" w:after="0" w:afterAutospacing="0" w:line="560" w:lineRule="exact"/>
        <w:ind w:firstLine="560" w:firstLineChars="200"/>
        <w:rPr>
          <w:color w:val="auto"/>
          <w:sz w:val="28"/>
          <w:szCs w:val="28"/>
        </w:rPr>
      </w:pPr>
      <w:r>
        <w:rPr>
          <w:rFonts w:hint="eastAsia"/>
          <w:color w:val="auto"/>
          <w:sz w:val="28"/>
          <w:szCs w:val="28"/>
        </w:rPr>
        <w:t>评审专家劳务报酬由甲方支付</w:t>
      </w:r>
      <w:r>
        <w:rPr>
          <w:rFonts w:hint="eastAsia"/>
          <w:color w:val="auto"/>
          <w:sz w:val="28"/>
          <w:szCs w:val="28"/>
        </w:rPr>
        <w:t>。</w:t>
      </w:r>
      <w:r>
        <w:rPr>
          <w:color w:val="auto"/>
          <w:sz w:val="28"/>
          <w:szCs w:val="28"/>
        </w:rPr>
        <w:t>      </w:t>
      </w:r>
    </w:p>
    <w:p>
      <w:pPr>
        <w:widowControl/>
        <w:spacing w:line="560" w:lineRule="exact"/>
        <w:ind w:firstLine="560" w:firstLineChars="200"/>
        <w:rPr>
          <w:rFonts w:ascii="宋体" w:hAnsi="宋体" w:eastAsia="宋体" w:cs="宋体"/>
          <w:color w:val="auto"/>
          <w:kern w:val="0"/>
          <w:sz w:val="28"/>
          <w:szCs w:val="28"/>
        </w:rPr>
      </w:pPr>
      <w:r>
        <w:rPr>
          <w:rFonts w:hint="eastAsia" w:ascii="宋体" w:hAnsi="宋体" w:eastAsia="宋体" w:cs="宋体"/>
          <w:color w:val="auto"/>
          <w:kern w:val="0"/>
          <w:sz w:val="28"/>
          <w:szCs w:val="28"/>
        </w:rPr>
        <w:t>九 、委托期限</w:t>
      </w:r>
    </w:p>
    <w:p>
      <w:pPr>
        <w:widowControl/>
        <w:spacing w:line="560" w:lineRule="exact"/>
        <w:ind w:firstLine="560" w:firstLineChars="200"/>
        <w:rPr>
          <w:rFonts w:ascii="宋体" w:hAnsi="宋体" w:eastAsia="宋体" w:cs="宋体"/>
          <w:color w:val="auto"/>
          <w:kern w:val="0"/>
          <w:sz w:val="28"/>
          <w:szCs w:val="28"/>
        </w:rPr>
      </w:pPr>
      <w:r>
        <w:rPr>
          <w:rFonts w:hint="eastAsia" w:ascii="宋体" w:hAnsi="宋体" w:eastAsia="宋体" w:cs="宋体"/>
          <w:color w:val="auto"/>
          <w:kern w:val="0"/>
          <w:sz w:val="28"/>
          <w:szCs w:val="28"/>
        </w:rPr>
        <w:t>本合同委托期限:自</w:t>
      </w:r>
      <w:r>
        <w:rPr>
          <w:rFonts w:hint="eastAsia" w:ascii="宋体" w:hAnsi="宋体" w:eastAsia="宋体" w:cs="宋体"/>
          <w:color w:val="auto"/>
          <w:kern w:val="0"/>
          <w:sz w:val="28"/>
          <w:szCs w:val="28"/>
          <w:u w:val="single"/>
        </w:rPr>
        <w:t>202</w:t>
      </w:r>
      <w:r>
        <w:rPr>
          <w:rFonts w:hint="eastAsia" w:ascii="宋体" w:hAnsi="宋体" w:eastAsia="宋体" w:cs="宋体"/>
          <w:color w:val="auto"/>
          <w:kern w:val="0"/>
          <w:sz w:val="28"/>
          <w:szCs w:val="28"/>
          <w:u w:val="single"/>
          <w:lang w:val="en-US" w:eastAsia="zh-CN"/>
        </w:rPr>
        <w:t>4</w:t>
      </w:r>
      <w:r>
        <w:rPr>
          <w:rFonts w:hint="eastAsia" w:ascii="宋体" w:hAnsi="宋体" w:eastAsia="宋体" w:cs="宋体"/>
          <w:color w:val="auto"/>
          <w:kern w:val="0"/>
          <w:sz w:val="28"/>
          <w:szCs w:val="28"/>
          <w:u w:val="single"/>
        </w:rPr>
        <w:t>年</w:t>
      </w:r>
      <w:r>
        <w:rPr>
          <w:rFonts w:hint="eastAsia" w:ascii="宋体" w:hAnsi="宋体" w:eastAsia="宋体" w:cs="宋体"/>
          <w:color w:val="auto"/>
          <w:kern w:val="0"/>
          <w:sz w:val="28"/>
          <w:szCs w:val="28"/>
          <w:u w:val="single"/>
          <w:lang w:val="en-US" w:eastAsia="zh-CN"/>
        </w:rPr>
        <w:t>1</w:t>
      </w:r>
      <w:r>
        <w:rPr>
          <w:rFonts w:hint="eastAsia" w:ascii="宋体" w:hAnsi="宋体" w:eastAsia="宋体" w:cs="宋体"/>
          <w:color w:val="auto"/>
          <w:kern w:val="0"/>
          <w:sz w:val="28"/>
          <w:szCs w:val="28"/>
          <w:u w:val="single"/>
        </w:rPr>
        <w:t>月</w:t>
      </w:r>
      <w:r>
        <w:rPr>
          <w:rFonts w:hint="eastAsia" w:ascii="宋体" w:hAnsi="宋体" w:eastAsia="宋体" w:cs="宋体"/>
          <w:color w:val="auto"/>
          <w:kern w:val="0"/>
          <w:sz w:val="28"/>
          <w:szCs w:val="28"/>
          <w:u w:val="single"/>
          <w:lang w:val="en-US" w:eastAsia="zh-CN"/>
        </w:rPr>
        <w:t>25</w:t>
      </w:r>
      <w:r>
        <w:rPr>
          <w:rFonts w:hint="eastAsia" w:ascii="宋体" w:hAnsi="宋体" w:eastAsia="宋体" w:cs="宋体"/>
          <w:color w:val="auto"/>
          <w:kern w:val="0"/>
          <w:sz w:val="28"/>
          <w:szCs w:val="28"/>
          <w:u w:val="single"/>
        </w:rPr>
        <w:t>日到202</w:t>
      </w:r>
      <w:r>
        <w:rPr>
          <w:rFonts w:hint="eastAsia" w:ascii="宋体" w:hAnsi="宋体" w:eastAsia="宋体" w:cs="宋体"/>
          <w:color w:val="auto"/>
          <w:kern w:val="0"/>
          <w:sz w:val="28"/>
          <w:szCs w:val="28"/>
          <w:u w:val="single"/>
          <w:lang w:val="en-US" w:eastAsia="zh-CN"/>
        </w:rPr>
        <w:t>4</w:t>
      </w:r>
      <w:r>
        <w:rPr>
          <w:rFonts w:hint="eastAsia" w:ascii="宋体" w:hAnsi="宋体" w:eastAsia="宋体" w:cs="宋体"/>
          <w:color w:val="auto"/>
          <w:kern w:val="0"/>
          <w:sz w:val="28"/>
          <w:szCs w:val="28"/>
          <w:u w:val="single"/>
        </w:rPr>
        <w:t>年</w:t>
      </w:r>
      <w:r>
        <w:rPr>
          <w:rFonts w:hint="eastAsia" w:ascii="宋体" w:hAnsi="宋体" w:eastAsia="宋体" w:cs="宋体"/>
          <w:color w:val="auto"/>
          <w:kern w:val="0"/>
          <w:sz w:val="28"/>
          <w:szCs w:val="28"/>
          <w:u w:val="single"/>
          <w:lang w:val="en-US" w:eastAsia="zh-CN"/>
        </w:rPr>
        <w:t>4</w:t>
      </w:r>
      <w:r>
        <w:rPr>
          <w:rFonts w:hint="eastAsia" w:ascii="宋体" w:hAnsi="宋体" w:eastAsia="宋体" w:cs="宋体"/>
          <w:color w:val="auto"/>
          <w:kern w:val="0"/>
          <w:sz w:val="28"/>
          <w:szCs w:val="28"/>
          <w:u w:val="single"/>
        </w:rPr>
        <w:t>月</w:t>
      </w:r>
      <w:r>
        <w:rPr>
          <w:rFonts w:hint="eastAsia" w:ascii="宋体" w:hAnsi="宋体" w:eastAsia="宋体" w:cs="宋体"/>
          <w:color w:val="auto"/>
          <w:kern w:val="0"/>
          <w:sz w:val="28"/>
          <w:szCs w:val="28"/>
          <w:u w:val="single"/>
          <w:lang w:val="en-US" w:eastAsia="zh-CN"/>
        </w:rPr>
        <w:t>30</w:t>
      </w:r>
      <w:r>
        <w:rPr>
          <w:rFonts w:hint="eastAsia" w:ascii="宋体" w:hAnsi="宋体" w:eastAsia="宋体" w:cs="宋体"/>
          <w:color w:val="auto"/>
          <w:kern w:val="0"/>
          <w:sz w:val="28"/>
          <w:szCs w:val="28"/>
          <w:u w:val="single"/>
        </w:rPr>
        <w:t>日</w:t>
      </w:r>
      <w:r>
        <w:rPr>
          <w:rFonts w:hint="eastAsia" w:ascii="宋体" w:hAnsi="宋体" w:eastAsia="宋体" w:cs="宋体"/>
          <w:color w:val="auto"/>
          <w:kern w:val="0"/>
          <w:sz w:val="28"/>
          <w:szCs w:val="28"/>
        </w:rPr>
        <w:t xml:space="preserve">止。委托期限届满时，招标代理事项未完成的，乙方仍需尽职服务至该代理事项完成为止。 </w:t>
      </w:r>
    </w:p>
    <w:p>
      <w:pPr>
        <w:widowControl/>
        <w:spacing w:line="560" w:lineRule="exact"/>
        <w:ind w:firstLine="560" w:firstLineChars="200"/>
        <w:rPr>
          <w:rFonts w:ascii="宋体" w:hAnsi="宋体" w:eastAsia="宋体" w:cs="宋体"/>
          <w:color w:val="auto"/>
          <w:kern w:val="0"/>
          <w:sz w:val="28"/>
          <w:szCs w:val="28"/>
        </w:rPr>
      </w:pPr>
      <w:r>
        <w:rPr>
          <w:rFonts w:hint="eastAsia" w:ascii="宋体" w:hAnsi="宋体" w:eastAsia="宋体" w:cs="宋体"/>
          <w:color w:val="auto"/>
          <w:kern w:val="0"/>
          <w:sz w:val="28"/>
          <w:szCs w:val="28"/>
        </w:rPr>
        <w:t>十</w:t>
      </w:r>
      <w:r>
        <w:rPr>
          <w:rFonts w:ascii="宋体" w:hAnsi="宋体" w:eastAsia="宋体" w:cs="宋体"/>
          <w:color w:val="auto"/>
          <w:kern w:val="0"/>
          <w:sz w:val="28"/>
          <w:szCs w:val="28"/>
        </w:rPr>
        <w:t>、其他约定</w:t>
      </w:r>
    </w:p>
    <w:p>
      <w:pPr>
        <w:widowControl/>
        <w:spacing w:line="560" w:lineRule="exact"/>
        <w:ind w:firstLine="560" w:firstLineChars="200"/>
        <w:rPr>
          <w:rFonts w:ascii="宋体" w:hAnsi="宋体" w:eastAsia="宋体" w:cs="宋体"/>
          <w:color w:val="auto"/>
          <w:kern w:val="0"/>
          <w:sz w:val="28"/>
          <w:szCs w:val="28"/>
        </w:rPr>
      </w:pPr>
      <w:r>
        <w:rPr>
          <w:rFonts w:ascii="宋体" w:hAnsi="宋体" w:eastAsia="宋体" w:cs="宋体"/>
          <w:color w:val="auto"/>
          <w:kern w:val="0"/>
          <w:sz w:val="28"/>
          <w:szCs w:val="28"/>
        </w:rPr>
        <w:t>1、甲乙双方依法约定，本项目的采购方式采用</w:t>
      </w:r>
      <w:r>
        <w:rPr>
          <w:rFonts w:hint="eastAsia" w:ascii="宋体" w:hAnsi="宋体" w:eastAsia="宋体" w:cs="宋体"/>
          <w:color w:val="auto"/>
          <w:kern w:val="0"/>
          <w:sz w:val="28"/>
          <w:szCs w:val="28"/>
          <w:u w:val="single"/>
        </w:rPr>
        <w:t>竞争性磋商</w:t>
      </w:r>
      <w:r>
        <w:rPr>
          <w:rFonts w:ascii="宋体" w:hAnsi="宋体" w:eastAsia="宋体" w:cs="宋体"/>
          <w:color w:val="auto"/>
          <w:kern w:val="0"/>
          <w:sz w:val="28"/>
          <w:szCs w:val="28"/>
        </w:rPr>
        <w:t>；中标或成交供应商产生办法采用</w:t>
      </w:r>
      <w:r>
        <w:rPr>
          <w:rFonts w:ascii="宋体" w:hAnsi="宋体" w:eastAsia="宋体" w:cs="宋体"/>
          <w:color w:val="auto"/>
          <w:kern w:val="0"/>
          <w:sz w:val="28"/>
          <w:szCs w:val="28"/>
          <w:u w:val="single"/>
        </w:rPr>
        <w:t>综合评分</w:t>
      </w:r>
      <w:r>
        <w:rPr>
          <w:rFonts w:ascii="宋体" w:hAnsi="宋体" w:eastAsia="宋体" w:cs="宋体"/>
          <w:color w:val="auto"/>
          <w:kern w:val="0"/>
          <w:sz w:val="28"/>
          <w:szCs w:val="28"/>
          <w:u w:val="single"/>
        </w:rPr>
        <w:t>法</w:t>
      </w:r>
      <w:r>
        <w:rPr>
          <w:rFonts w:ascii="宋体" w:hAnsi="宋体" w:eastAsia="宋体" w:cs="宋体"/>
          <w:color w:val="auto"/>
          <w:kern w:val="0"/>
          <w:sz w:val="28"/>
          <w:szCs w:val="28"/>
        </w:rPr>
        <w:t>。</w:t>
      </w:r>
    </w:p>
    <w:p>
      <w:pPr>
        <w:widowControl/>
        <w:spacing w:line="560" w:lineRule="exact"/>
        <w:ind w:firstLine="560" w:firstLineChars="200"/>
        <w:rPr>
          <w:rFonts w:ascii="宋体" w:hAnsi="宋体" w:eastAsia="宋体" w:cs="宋体"/>
          <w:color w:val="auto"/>
          <w:kern w:val="0"/>
          <w:sz w:val="28"/>
          <w:szCs w:val="28"/>
        </w:rPr>
      </w:pPr>
      <w:r>
        <w:rPr>
          <w:rFonts w:ascii="宋体" w:hAnsi="宋体" w:eastAsia="宋体" w:cs="宋体"/>
          <w:color w:val="auto"/>
          <w:kern w:val="0"/>
          <w:sz w:val="28"/>
          <w:szCs w:val="28"/>
        </w:rPr>
        <w:t>2、甲乙双方约定，乙方应按下列时间表完成委托事项：</w:t>
      </w:r>
    </w:p>
    <w:p>
      <w:pPr>
        <w:spacing w:line="360" w:lineRule="auto"/>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t>第一阶段：采购文件编制，自委托协议签订之日起至采购文件经采购人审核通过之日止；</w:t>
      </w:r>
    </w:p>
    <w:p>
      <w:pPr>
        <w:spacing w:line="360" w:lineRule="auto"/>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t>第二阶段：发布采购公告等开评标活动，采购文件经采购人审核通过之日起至评标活动结束之日止；</w:t>
      </w:r>
    </w:p>
    <w:p>
      <w:pPr>
        <w:spacing w:line="360" w:lineRule="auto"/>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t>第三阶段：结果公告发布，自评标报告提交采购人起2个工作日内发布结果公告。</w:t>
      </w:r>
    </w:p>
    <w:p>
      <w:pPr>
        <w:spacing w:line="360" w:lineRule="auto"/>
        <w:ind w:firstLine="560" w:firstLineChars="200"/>
        <w:rPr>
          <w:rFonts w:ascii="宋体" w:hAnsi="宋体" w:eastAsia="宋体" w:cs="宋体"/>
          <w:color w:val="auto"/>
          <w:sz w:val="28"/>
          <w:szCs w:val="28"/>
        </w:rPr>
      </w:pPr>
      <w:r>
        <w:rPr>
          <w:rFonts w:hint="eastAsia" w:ascii="宋体" w:hAnsi="宋体" w:eastAsia="宋体" w:cs="宋体"/>
          <w:color w:val="auto"/>
          <w:sz w:val="28"/>
          <w:szCs w:val="28"/>
        </w:rPr>
        <w:t>第四阶段：档案存档，结果公告发布之日起1个月内招投标活动过程资料送采购人存档。</w:t>
      </w:r>
    </w:p>
    <w:p>
      <w:pPr>
        <w:widowControl/>
        <w:spacing w:line="560" w:lineRule="exact"/>
        <w:ind w:firstLine="560" w:firstLineChars="200"/>
        <w:rPr>
          <w:rFonts w:ascii="宋体" w:hAnsi="宋体" w:eastAsia="宋体" w:cs="宋体"/>
          <w:color w:val="auto"/>
          <w:kern w:val="0"/>
          <w:sz w:val="28"/>
          <w:szCs w:val="28"/>
        </w:rPr>
      </w:pPr>
      <w:r>
        <w:rPr>
          <w:rFonts w:hint="eastAsia" w:ascii="宋体" w:hAnsi="宋体" w:eastAsia="宋体" w:cs="宋体"/>
          <w:color w:val="auto"/>
          <w:kern w:val="0"/>
          <w:sz w:val="28"/>
          <w:szCs w:val="28"/>
        </w:rPr>
        <w:t>十一、</w:t>
      </w:r>
      <w:r>
        <w:rPr>
          <w:rFonts w:ascii="宋体" w:hAnsi="宋体" w:eastAsia="宋体" w:cs="宋体"/>
          <w:color w:val="auto"/>
          <w:kern w:val="0"/>
          <w:sz w:val="28"/>
          <w:szCs w:val="28"/>
        </w:rPr>
        <w:t>其他事项</w:t>
      </w:r>
    </w:p>
    <w:p>
      <w:pPr>
        <w:widowControl/>
        <w:numPr>
          <w:ilvl w:val="0"/>
          <w:numId w:val="6"/>
        </w:numPr>
        <w:spacing w:line="560" w:lineRule="exact"/>
        <w:ind w:firstLine="560" w:firstLineChars="200"/>
        <w:rPr>
          <w:rFonts w:ascii="宋体" w:hAnsi="宋体" w:eastAsia="宋体" w:cs="宋体"/>
          <w:color w:val="auto"/>
          <w:kern w:val="0"/>
          <w:sz w:val="28"/>
          <w:szCs w:val="28"/>
        </w:rPr>
      </w:pPr>
      <w:r>
        <w:rPr>
          <w:rFonts w:ascii="宋体" w:hAnsi="宋体" w:eastAsia="宋体" w:cs="宋体"/>
          <w:color w:val="auto"/>
          <w:kern w:val="0"/>
          <w:sz w:val="28"/>
          <w:szCs w:val="28"/>
        </w:rPr>
        <w:t>甲乙双方如因履行本协议发生争议，应通过友好协商解决。协商不成，双方同意按以下第（1）种方式解决：</w:t>
      </w:r>
    </w:p>
    <w:p>
      <w:pPr>
        <w:widowControl/>
        <w:spacing w:line="560" w:lineRule="exact"/>
        <w:ind w:firstLine="560" w:firstLineChars="200"/>
        <w:rPr>
          <w:rFonts w:ascii="宋体" w:hAnsi="宋体" w:eastAsia="宋体" w:cs="宋体"/>
          <w:color w:val="auto"/>
          <w:kern w:val="0"/>
          <w:sz w:val="28"/>
          <w:szCs w:val="28"/>
        </w:rPr>
      </w:pPr>
      <w:r>
        <w:rPr>
          <w:rFonts w:ascii="宋体" w:hAnsi="宋体" w:eastAsia="宋体" w:cs="宋体"/>
          <w:color w:val="auto"/>
          <w:kern w:val="0"/>
          <w:sz w:val="28"/>
          <w:szCs w:val="28"/>
        </w:rPr>
        <w:t>（1）将争议提交有管辖权的人民法院解决；</w:t>
      </w:r>
    </w:p>
    <w:p>
      <w:pPr>
        <w:widowControl/>
        <w:spacing w:line="560" w:lineRule="exact"/>
        <w:ind w:firstLine="560" w:firstLineChars="200"/>
        <w:rPr>
          <w:rFonts w:ascii="宋体" w:hAnsi="宋体" w:eastAsia="宋体" w:cs="宋体"/>
          <w:color w:val="auto"/>
          <w:kern w:val="0"/>
          <w:sz w:val="28"/>
          <w:szCs w:val="28"/>
        </w:rPr>
      </w:pPr>
      <w:r>
        <w:rPr>
          <w:rFonts w:ascii="宋体" w:hAnsi="宋体" w:eastAsia="宋体" w:cs="宋体"/>
          <w:color w:val="auto"/>
          <w:kern w:val="0"/>
          <w:sz w:val="28"/>
          <w:szCs w:val="28"/>
        </w:rPr>
        <w:t>（2）将争议提交仲裁委员会解决。</w:t>
      </w:r>
    </w:p>
    <w:p>
      <w:pPr>
        <w:widowControl/>
        <w:numPr>
          <w:ilvl w:val="0"/>
          <w:numId w:val="6"/>
        </w:numPr>
        <w:spacing w:line="560" w:lineRule="exact"/>
        <w:ind w:firstLine="560" w:firstLineChars="200"/>
        <w:rPr>
          <w:rFonts w:ascii="宋体" w:hAnsi="宋体" w:eastAsia="宋体" w:cs="宋体"/>
          <w:color w:val="auto"/>
          <w:kern w:val="0"/>
          <w:sz w:val="28"/>
          <w:szCs w:val="28"/>
        </w:rPr>
      </w:pPr>
      <w:r>
        <w:rPr>
          <w:rFonts w:ascii="宋体" w:hAnsi="宋体" w:eastAsia="宋体" w:cs="宋体"/>
          <w:color w:val="auto"/>
          <w:kern w:val="0"/>
          <w:sz w:val="28"/>
          <w:szCs w:val="28"/>
        </w:rPr>
        <w:t>本协议未尽事宜，甲乙双方可另行签订补充协议。</w:t>
      </w:r>
    </w:p>
    <w:p>
      <w:pPr>
        <w:widowControl/>
        <w:numPr>
          <w:ilvl w:val="0"/>
          <w:numId w:val="6"/>
        </w:numPr>
        <w:spacing w:line="560" w:lineRule="exact"/>
        <w:ind w:firstLine="560" w:firstLineChars="200"/>
        <w:rPr>
          <w:rFonts w:ascii="宋体" w:hAnsi="宋体" w:eastAsia="宋体" w:cs="宋体"/>
          <w:color w:val="auto"/>
          <w:kern w:val="0"/>
          <w:sz w:val="28"/>
          <w:szCs w:val="28"/>
        </w:rPr>
      </w:pPr>
      <w:r>
        <w:rPr>
          <w:rFonts w:hint="eastAsia" w:ascii="宋体" w:hAnsi="宋体" w:eastAsia="宋体" w:cs="宋体"/>
          <w:color w:val="auto"/>
          <w:kern w:val="0"/>
          <w:sz w:val="28"/>
          <w:szCs w:val="28"/>
        </w:rPr>
        <w:t>本协议一式肆份，甲方执贰份，乙方执贰份。</w:t>
      </w:r>
    </w:p>
    <w:p>
      <w:pPr>
        <w:pStyle w:val="4"/>
        <w:shd w:val="clear" w:color="auto" w:fill="FFFFFF"/>
        <w:spacing w:before="0" w:beforeAutospacing="0" w:after="150" w:afterAutospacing="0" w:line="560" w:lineRule="exact"/>
        <w:ind w:firstLine="560" w:firstLineChars="200"/>
        <w:rPr>
          <w:color w:val="auto"/>
          <w:sz w:val="28"/>
          <w:szCs w:val="28"/>
        </w:rPr>
      </w:pPr>
      <w:r>
        <w:rPr>
          <w:color w:val="auto"/>
          <w:sz w:val="28"/>
          <w:szCs w:val="28"/>
        </w:rPr>
        <w:t>4、本协议于甲乙双方签字盖章之日起生效。</w:t>
      </w:r>
    </w:p>
    <w:tbl>
      <w:tblPr>
        <w:tblStyle w:val="5"/>
        <w:tblW w:w="9400" w:type="dxa"/>
        <w:tblInd w:w="0" w:type="dxa"/>
        <w:tblLayout w:type="fixed"/>
        <w:tblCellMar>
          <w:top w:w="15" w:type="dxa"/>
          <w:left w:w="15" w:type="dxa"/>
          <w:bottom w:w="15" w:type="dxa"/>
          <w:right w:w="15" w:type="dxa"/>
        </w:tblCellMar>
      </w:tblPr>
      <w:tblGrid>
        <w:gridCol w:w="9400"/>
      </w:tblGrid>
      <w:tr>
        <w:tblPrEx>
          <w:tblCellMar>
            <w:top w:w="15" w:type="dxa"/>
            <w:left w:w="15" w:type="dxa"/>
            <w:bottom w:w="15" w:type="dxa"/>
            <w:right w:w="15" w:type="dxa"/>
          </w:tblCellMar>
        </w:tblPrEx>
        <w:tc>
          <w:tcPr>
            <w:tcW w:w="9400" w:type="dxa"/>
            <w:shd w:val="clear" w:color="auto" w:fill="auto"/>
            <w:tcMar>
              <w:top w:w="0" w:type="dxa"/>
              <w:left w:w="0" w:type="dxa"/>
              <w:bottom w:w="0" w:type="dxa"/>
              <w:right w:w="0" w:type="dxa"/>
            </w:tcMar>
            <w:vAlign w:val="center"/>
          </w:tcPr>
          <w:p>
            <w:pPr>
              <w:widowControl/>
              <w:adjustRightInd w:val="0"/>
              <w:spacing w:line="480" w:lineRule="auto"/>
              <w:ind w:firstLine="560" w:firstLineChars="200"/>
              <w:rPr>
                <w:rFonts w:ascii="宋体" w:hAnsi="宋体" w:eastAsia="宋体" w:cs="宋体"/>
                <w:color w:val="auto"/>
                <w:kern w:val="0"/>
                <w:sz w:val="28"/>
                <w:szCs w:val="28"/>
              </w:rPr>
            </w:pPr>
            <w:r>
              <w:rPr>
                <w:rFonts w:hint="eastAsia" w:ascii="宋体" w:hAnsi="宋体" w:eastAsia="宋体" w:cs="宋体"/>
                <w:color w:val="auto"/>
                <w:kern w:val="0"/>
                <w:sz w:val="28"/>
                <w:szCs w:val="28"/>
              </w:rPr>
              <w:br w:type="page"/>
            </w:r>
            <w:r>
              <w:rPr>
                <w:rFonts w:hint="eastAsia" w:ascii="宋体" w:hAnsi="宋体" w:eastAsia="宋体" w:cs="宋体"/>
                <w:color w:val="auto"/>
                <w:kern w:val="0"/>
                <w:sz w:val="28"/>
                <w:szCs w:val="28"/>
              </w:rPr>
              <w:t>署页（此页无正文）</w:t>
            </w:r>
          </w:p>
        </w:tc>
      </w:tr>
      <w:tr>
        <w:tblPrEx>
          <w:tblCellMar>
            <w:top w:w="15" w:type="dxa"/>
            <w:left w:w="15" w:type="dxa"/>
            <w:bottom w:w="15" w:type="dxa"/>
            <w:right w:w="15" w:type="dxa"/>
          </w:tblCellMar>
        </w:tblPrEx>
        <w:tc>
          <w:tcPr>
            <w:tcW w:w="9400" w:type="dxa"/>
            <w:shd w:val="clear" w:color="auto" w:fill="auto"/>
            <w:tcMar>
              <w:top w:w="0" w:type="dxa"/>
              <w:left w:w="0" w:type="dxa"/>
              <w:bottom w:w="0" w:type="dxa"/>
              <w:right w:w="0" w:type="dxa"/>
            </w:tcMar>
            <w:vAlign w:val="center"/>
          </w:tcPr>
          <w:p>
            <w:pPr>
              <w:widowControl/>
              <w:adjustRightInd w:val="0"/>
              <w:spacing w:line="480" w:lineRule="auto"/>
              <w:ind w:firstLine="560" w:firstLineChars="200"/>
              <w:rPr>
                <w:rFonts w:ascii="宋体" w:hAnsi="宋体" w:eastAsia="宋体" w:cs="宋体"/>
                <w:color w:val="auto"/>
                <w:kern w:val="0"/>
                <w:sz w:val="28"/>
                <w:szCs w:val="28"/>
              </w:rPr>
            </w:pPr>
            <w:r>
              <w:rPr>
                <w:rFonts w:hint="eastAsia" w:ascii="宋体" w:hAnsi="宋体" w:eastAsia="宋体" w:cs="宋体"/>
                <w:color w:val="auto"/>
                <w:kern w:val="0"/>
                <w:sz w:val="28"/>
                <w:szCs w:val="28"/>
              </w:rPr>
              <w:t>甲方（公章）：</w:t>
            </w:r>
            <w:r>
              <w:rPr>
                <w:rFonts w:hint="eastAsia" w:ascii="宋体" w:hAnsi="宋体" w:eastAsia="宋体" w:cs="宋体"/>
                <w:color w:val="auto"/>
                <w:kern w:val="0"/>
                <w:sz w:val="28"/>
                <w:szCs w:val="28"/>
                <w:lang w:eastAsia="zh-CN"/>
              </w:rPr>
              <w:t>福建省公安厅</w:t>
            </w:r>
          </w:p>
        </w:tc>
      </w:tr>
      <w:tr>
        <w:tblPrEx>
          <w:tblCellMar>
            <w:top w:w="15" w:type="dxa"/>
            <w:left w:w="15" w:type="dxa"/>
            <w:bottom w:w="15" w:type="dxa"/>
            <w:right w:w="15" w:type="dxa"/>
          </w:tblCellMar>
        </w:tblPrEx>
        <w:tc>
          <w:tcPr>
            <w:tcW w:w="9400" w:type="dxa"/>
            <w:shd w:val="clear" w:color="auto" w:fill="auto"/>
            <w:tcMar>
              <w:top w:w="0" w:type="dxa"/>
              <w:left w:w="0" w:type="dxa"/>
              <w:bottom w:w="0" w:type="dxa"/>
              <w:right w:w="0" w:type="dxa"/>
            </w:tcMar>
            <w:vAlign w:val="center"/>
          </w:tcPr>
          <w:p>
            <w:pPr>
              <w:widowControl/>
              <w:adjustRightInd w:val="0"/>
              <w:spacing w:line="480" w:lineRule="auto"/>
              <w:ind w:firstLine="560" w:firstLineChars="200"/>
              <w:rPr>
                <w:rFonts w:ascii="宋体" w:hAnsi="宋体" w:eastAsia="宋体" w:cs="宋体"/>
                <w:color w:val="auto"/>
                <w:kern w:val="0"/>
                <w:sz w:val="28"/>
                <w:szCs w:val="28"/>
              </w:rPr>
            </w:pPr>
            <w:r>
              <w:rPr>
                <w:rFonts w:hint="eastAsia" w:ascii="宋体" w:hAnsi="宋体" w:eastAsia="宋体" w:cs="宋体"/>
                <w:color w:val="auto"/>
                <w:kern w:val="0"/>
                <w:sz w:val="28"/>
                <w:szCs w:val="28"/>
              </w:rPr>
              <w:t>法定（授权）代表人（签字或盖章）：</w:t>
            </w:r>
          </w:p>
        </w:tc>
      </w:tr>
      <w:tr>
        <w:tblPrEx>
          <w:tblCellMar>
            <w:top w:w="15" w:type="dxa"/>
            <w:left w:w="15" w:type="dxa"/>
            <w:bottom w:w="15" w:type="dxa"/>
            <w:right w:w="15" w:type="dxa"/>
          </w:tblCellMar>
        </w:tblPrEx>
        <w:tc>
          <w:tcPr>
            <w:tcW w:w="9400" w:type="dxa"/>
            <w:shd w:val="clear" w:color="auto" w:fill="auto"/>
            <w:tcMar>
              <w:top w:w="0" w:type="dxa"/>
              <w:left w:w="0" w:type="dxa"/>
              <w:bottom w:w="0" w:type="dxa"/>
              <w:right w:w="0" w:type="dxa"/>
            </w:tcMar>
            <w:vAlign w:val="center"/>
          </w:tcPr>
          <w:p>
            <w:pPr>
              <w:widowControl/>
              <w:adjustRightInd w:val="0"/>
              <w:spacing w:line="480" w:lineRule="auto"/>
              <w:ind w:firstLine="560" w:firstLineChars="200"/>
              <w:rPr>
                <w:rFonts w:ascii="宋体" w:hAnsi="宋体" w:eastAsia="宋体" w:cs="宋体"/>
                <w:color w:val="auto"/>
                <w:kern w:val="0"/>
                <w:sz w:val="28"/>
                <w:szCs w:val="28"/>
              </w:rPr>
            </w:pPr>
            <w:r>
              <w:rPr>
                <w:rFonts w:hint="eastAsia" w:ascii="宋体" w:hAnsi="宋体" w:eastAsia="宋体" w:cs="宋体"/>
                <w:color w:val="auto"/>
                <w:kern w:val="0"/>
                <w:sz w:val="28"/>
                <w:szCs w:val="28"/>
              </w:rPr>
              <w:t>地址：福州市鼓楼区华大街道华林路12号</w:t>
            </w:r>
          </w:p>
        </w:tc>
      </w:tr>
      <w:tr>
        <w:tblPrEx>
          <w:tblCellMar>
            <w:top w:w="15" w:type="dxa"/>
            <w:left w:w="15" w:type="dxa"/>
            <w:bottom w:w="15" w:type="dxa"/>
            <w:right w:w="15" w:type="dxa"/>
          </w:tblCellMar>
        </w:tblPrEx>
        <w:tc>
          <w:tcPr>
            <w:tcW w:w="9400" w:type="dxa"/>
            <w:shd w:val="clear" w:color="auto" w:fill="auto"/>
            <w:tcMar>
              <w:top w:w="0" w:type="dxa"/>
              <w:left w:w="0" w:type="dxa"/>
              <w:bottom w:w="0" w:type="dxa"/>
              <w:right w:w="0" w:type="dxa"/>
            </w:tcMar>
            <w:vAlign w:val="center"/>
          </w:tcPr>
          <w:p>
            <w:pPr>
              <w:widowControl/>
              <w:adjustRightInd w:val="0"/>
              <w:spacing w:line="480" w:lineRule="auto"/>
              <w:ind w:firstLine="560" w:firstLineChars="200"/>
              <w:rPr>
                <w:rFonts w:hint="eastAsia" w:ascii="宋体" w:hAnsi="宋体" w:eastAsia="宋体" w:cs="宋体"/>
                <w:color w:val="auto"/>
                <w:kern w:val="0"/>
                <w:sz w:val="28"/>
                <w:szCs w:val="28"/>
                <w:lang w:eastAsia="zh-CN"/>
              </w:rPr>
            </w:pPr>
            <w:r>
              <w:rPr>
                <w:rFonts w:hint="eastAsia" w:ascii="宋体" w:hAnsi="宋体" w:eastAsia="宋体" w:cs="宋体"/>
                <w:color w:val="auto"/>
                <w:kern w:val="0"/>
                <w:sz w:val="28"/>
                <w:szCs w:val="28"/>
              </w:rPr>
              <w:t>联系电话：</w:t>
            </w:r>
          </w:p>
        </w:tc>
      </w:tr>
      <w:tr>
        <w:tblPrEx>
          <w:tblCellMar>
            <w:top w:w="15" w:type="dxa"/>
            <w:left w:w="15" w:type="dxa"/>
            <w:bottom w:w="15" w:type="dxa"/>
            <w:right w:w="15" w:type="dxa"/>
          </w:tblCellMar>
        </w:tblPrEx>
        <w:tc>
          <w:tcPr>
            <w:tcW w:w="9400" w:type="dxa"/>
            <w:shd w:val="clear" w:color="auto" w:fill="auto"/>
            <w:tcMar>
              <w:top w:w="0" w:type="dxa"/>
              <w:left w:w="0" w:type="dxa"/>
              <w:bottom w:w="0" w:type="dxa"/>
              <w:right w:w="0" w:type="dxa"/>
            </w:tcMar>
            <w:vAlign w:val="center"/>
          </w:tcPr>
          <w:p>
            <w:pPr>
              <w:widowControl/>
              <w:adjustRightInd w:val="0"/>
              <w:spacing w:line="480" w:lineRule="auto"/>
              <w:ind w:firstLine="560" w:firstLineChars="200"/>
              <w:rPr>
                <w:rFonts w:ascii="宋体" w:hAnsi="宋体" w:eastAsia="宋体" w:cs="宋体"/>
                <w:color w:val="auto"/>
                <w:kern w:val="0"/>
                <w:sz w:val="28"/>
                <w:szCs w:val="28"/>
              </w:rPr>
            </w:pPr>
            <w:r>
              <w:rPr>
                <w:rFonts w:hint="eastAsia" w:ascii="宋体" w:hAnsi="宋体" w:eastAsia="宋体" w:cs="宋体"/>
                <w:color w:val="auto"/>
                <w:kern w:val="0"/>
                <w:sz w:val="28"/>
                <w:szCs w:val="28"/>
              </w:rPr>
              <w:t>传真：/</w:t>
            </w:r>
          </w:p>
        </w:tc>
      </w:tr>
      <w:tr>
        <w:tblPrEx>
          <w:tblCellMar>
            <w:top w:w="15" w:type="dxa"/>
            <w:left w:w="15" w:type="dxa"/>
            <w:bottom w:w="15" w:type="dxa"/>
            <w:right w:w="15" w:type="dxa"/>
          </w:tblCellMar>
        </w:tblPrEx>
        <w:tc>
          <w:tcPr>
            <w:tcW w:w="9400" w:type="dxa"/>
            <w:shd w:val="clear" w:color="auto" w:fill="auto"/>
            <w:tcMar>
              <w:top w:w="0" w:type="dxa"/>
              <w:left w:w="0" w:type="dxa"/>
              <w:bottom w:w="0" w:type="dxa"/>
              <w:right w:w="0" w:type="dxa"/>
            </w:tcMar>
            <w:vAlign w:val="center"/>
          </w:tcPr>
          <w:p>
            <w:pPr>
              <w:widowControl/>
              <w:adjustRightInd w:val="0"/>
              <w:spacing w:line="480" w:lineRule="auto"/>
              <w:ind w:firstLine="560" w:firstLineChars="200"/>
              <w:rPr>
                <w:rFonts w:ascii="宋体" w:hAnsi="宋体" w:eastAsia="宋体" w:cs="宋体"/>
                <w:color w:val="auto"/>
                <w:kern w:val="0"/>
                <w:sz w:val="28"/>
                <w:szCs w:val="28"/>
              </w:rPr>
            </w:pPr>
            <w:r>
              <w:rPr>
                <w:rFonts w:hint="eastAsia" w:ascii="宋体" w:hAnsi="宋体" w:eastAsia="宋体" w:cs="宋体"/>
                <w:color w:val="auto"/>
                <w:kern w:val="0"/>
                <w:sz w:val="28"/>
                <w:szCs w:val="28"/>
              </w:rPr>
              <w:t>邮编：/</w:t>
            </w:r>
          </w:p>
        </w:tc>
      </w:tr>
    </w:tbl>
    <w:p>
      <w:pPr>
        <w:ind w:firstLine="420" w:firstLineChars="200"/>
        <w:rPr>
          <w:color w:val="auto"/>
        </w:rPr>
      </w:pPr>
    </w:p>
    <w:tbl>
      <w:tblPr>
        <w:tblStyle w:val="5"/>
        <w:tblW w:w="9400" w:type="dxa"/>
        <w:tblInd w:w="0" w:type="dxa"/>
        <w:tblLayout w:type="fixed"/>
        <w:tblCellMar>
          <w:top w:w="15" w:type="dxa"/>
          <w:left w:w="15" w:type="dxa"/>
          <w:bottom w:w="15" w:type="dxa"/>
          <w:right w:w="15" w:type="dxa"/>
        </w:tblCellMar>
      </w:tblPr>
      <w:tblGrid>
        <w:gridCol w:w="9400"/>
      </w:tblGrid>
      <w:tr>
        <w:tblPrEx>
          <w:tblCellMar>
            <w:top w:w="15" w:type="dxa"/>
            <w:left w:w="15" w:type="dxa"/>
            <w:bottom w:w="15" w:type="dxa"/>
            <w:right w:w="15" w:type="dxa"/>
          </w:tblCellMar>
        </w:tblPrEx>
        <w:tc>
          <w:tcPr>
            <w:tcW w:w="9400" w:type="dxa"/>
            <w:shd w:val="clear" w:color="auto" w:fill="auto"/>
            <w:tcMar>
              <w:top w:w="0" w:type="dxa"/>
              <w:left w:w="0" w:type="dxa"/>
              <w:bottom w:w="0" w:type="dxa"/>
              <w:right w:w="0" w:type="dxa"/>
            </w:tcMar>
            <w:vAlign w:val="center"/>
          </w:tcPr>
          <w:p>
            <w:pPr>
              <w:widowControl/>
              <w:adjustRightInd w:val="0"/>
              <w:spacing w:line="480" w:lineRule="auto"/>
              <w:ind w:firstLine="560" w:firstLineChars="200"/>
              <w:rPr>
                <w:rFonts w:ascii="宋体" w:hAnsi="宋体" w:eastAsia="宋体" w:cs="宋体"/>
                <w:color w:val="auto"/>
                <w:kern w:val="0"/>
                <w:sz w:val="28"/>
                <w:szCs w:val="28"/>
              </w:rPr>
            </w:pPr>
            <w:r>
              <w:rPr>
                <w:rFonts w:hint="eastAsia" w:ascii="宋体" w:hAnsi="宋体" w:eastAsia="宋体" w:cs="宋体"/>
                <w:color w:val="auto"/>
                <w:kern w:val="0"/>
                <w:sz w:val="28"/>
                <w:szCs w:val="28"/>
              </w:rPr>
              <w:t>乙方（公章）：福建省闽咨造价咨询有限公司</w:t>
            </w:r>
          </w:p>
        </w:tc>
      </w:tr>
      <w:tr>
        <w:tblPrEx>
          <w:tblCellMar>
            <w:top w:w="15" w:type="dxa"/>
            <w:left w:w="15" w:type="dxa"/>
            <w:bottom w:w="15" w:type="dxa"/>
            <w:right w:w="15" w:type="dxa"/>
          </w:tblCellMar>
        </w:tblPrEx>
        <w:tc>
          <w:tcPr>
            <w:tcW w:w="9400" w:type="dxa"/>
            <w:shd w:val="clear" w:color="auto" w:fill="auto"/>
            <w:tcMar>
              <w:top w:w="0" w:type="dxa"/>
              <w:left w:w="0" w:type="dxa"/>
              <w:bottom w:w="0" w:type="dxa"/>
              <w:right w:w="0" w:type="dxa"/>
            </w:tcMar>
            <w:vAlign w:val="center"/>
          </w:tcPr>
          <w:p>
            <w:pPr>
              <w:widowControl/>
              <w:adjustRightInd w:val="0"/>
              <w:spacing w:line="480" w:lineRule="auto"/>
              <w:ind w:firstLine="560" w:firstLineChars="200"/>
              <w:rPr>
                <w:rFonts w:ascii="宋体" w:hAnsi="宋体" w:eastAsia="宋体" w:cs="宋体"/>
                <w:color w:val="auto"/>
                <w:kern w:val="0"/>
                <w:sz w:val="28"/>
                <w:szCs w:val="28"/>
              </w:rPr>
            </w:pPr>
            <w:r>
              <w:rPr>
                <w:rFonts w:hint="eastAsia" w:ascii="宋体" w:hAnsi="宋体" w:eastAsia="宋体" w:cs="宋体"/>
                <w:color w:val="auto"/>
                <w:kern w:val="0"/>
                <w:sz w:val="28"/>
                <w:szCs w:val="28"/>
              </w:rPr>
              <w:t>法定（授权）代表人（签字或盖章）：</w:t>
            </w:r>
          </w:p>
        </w:tc>
      </w:tr>
      <w:tr>
        <w:tblPrEx>
          <w:tblCellMar>
            <w:top w:w="15" w:type="dxa"/>
            <w:left w:w="15" w:type="dxa"/>
            <w:bottom w:w="15" w:type="dxa"/>
            <w:right w:w="15" w:type="dxa"/>
          </w:tblCellMar>
        </w:tblPrEx>
        <w:tc>
          <w:tcPr>
            <w:tcW w:w="9400" w:type="dxa"/>
            <w:shd w:val="clear" w:color="auto" w:fill="auto"/>
            <w:tcMar>
              <w:top w:w="0" w:type="dxa"/>
              <w:left w:w="0" w:type="dxa"/>
              <w:bottom w:w="0" w:type="dxa"/>
              <w:right w:w="0" w:type="dxa"/>
            </w:tcMar>
            <w:vAlign w:val="center"/>
          </w:tcPr>
          <w:p>
            <w:pPr>
              <w:widowControl/>
              <w:adjustRightInd w:val="0"/>
              <w:spacing w:line="480" w:lineRule="auto"/>
              <w:ind w:firstLine="560" w:firstLineChars="200"/>
              <w:rPr>
                <w:rFonts w:ascii="宋体" w:hAnsi="宋体" w:eastAsia="宋体" w:cs="宋体"/>
                <w:color w:val="auto"/>
                <w:kern w:val="0"/>
                <w:sz w:val="28"/>
                <w:szCs w:val="28"/>
              </w:rPr>
            </w:pPr>
            <w:r>
              <w:rPr>
                <w:rFonts w:hint="eastAsia" w:ascii="宋体" w:hAnsi="宋体" w:eastAsia="宋体" w:cs="宋体"/>
                <w:color w:val="auto"/>
                <w:kern w:val="0"/>
                <w:sz w:val="28"/>
                <w:szCs w:val="28"/>
              </w:rPr>
              <w:t>地址：</w:t>
            </w:r>
            <w:r>
              <w:rPr>
                <w:rFonts w:hint="eastAsia" w:ascii="宋体" w:hAnsi="宋体" w:eastAsia="宋体" w:cs="宋体"/>
                <w:color w:val="auto"/>
                <w:sz w:val="28"/>
                <w:szCs w:val="28"/>
              </w:rPr>
              <w:t>福建省福州市鼓楼区五四路158号环球广场B座13层</w:t>
            </w:r>
          </w:p>
        </w:tc>
      </w:tr>
      <w:tr>
        <w:tblPrEx>
          <w:tblCellMar>
            <w:top w:w="15" w:type="dxa"/>
            <w:left w:w="15" w:type="dxa"/>
            <w:bottom w:w="15" w:type="dxa"/>
            <w:right w:w="15" w:type="dxa"/>
          </w:tblCellMar>
        </w:tblPrEx>
        <w:tc>
          <w:tcPr>
            <w:tcW w:w="9400" w:type="dxa"/>
            <w:shd w:val="clear" w:color="auto" w:fill="auto"/>
            <w:tcMar>
              <w:top w:w="0" w:type="dxa"/>
              <w:left w:w="0" w:type="dxa"/>
              <w:bottom w:w="0" w:type="dxa"/>
              <w:right w:w="0" w:type="dxa"/>
            </w:tcMar>
            <w:vAlign w:val="center"/>
          </w:tcPr>
          <w:p>
            <w:pPr>
              <w:widowControl/>
              <w:adjustRightInd w:val="0"/>
              <w:spacing w:line="480" w:lineRule="auto"/>
              <w:ind w:firstLine="560" w:firstLineChars="200"/>
              <w:rPr>
                <w:rFonts w:ascii="宋体" w:hAnsi="宋体" w:eastAsia="宋体" w:cs="宋体"/>
                <w:color w:val="auto"/>
                <w:kern w:val="0"/>
                <w:sz w:val="28"/>
                <w:szCs w:val="28"/>
              </w:rPr>
            </w:pPr>
            <w:r>
              <w:rPr>
                <w:rFonts w:hint="eastAsia" w:ascii="宋体" w:hAnsi="宋体" w:eastAsia="宋体" w:cs="宋体"/>
                <w:color w:val="auto"/>
                <w:kern w:val="0"/>
                <w:sz w:val="28"/>
                <w:szCs w:val="28"/>
              </w:rPr>
              <w:t>联系电话：</w:t>
            </w:r>
            <w:r>
              <w:rPr>
                <w:rFonts w:hint="eastAsia" w:ascii="宋体" w:hAnsi="宋体" w:eastAsia="宋体" w:cs="宋体"/>
                <w:color w:val="auto"/>
                <w:sz w:val="28"/>
                <w:szCs w:val="28"/>
              </w:rPr>
              <w:t>0591-87677863</w:t>
            </w:r>
          </w:p>
        </w:tc>
      </w:tr>
      <w:tr>
        <w:tblPrEx>
          <w:tblCellMar>
            <w:top w:w="15" w:type="dxa"/>
            <w:left w:w="15" w:type="dxa"/>
            <w:bottom w:w="15" w:type="dxa"/>
            <w:right w:w="15" w:type="dxa"/>
          </w:tblCellMar>
        </w:tblPrEx>
        <w:tc>
          <w:tcPr>
            <w:tcW w:w="9400" w:type="dxa"/>
            <w:shd w:val="clear" w:color="auto" w:fill="auto"/>
            <w:tcMar>
              <w:top w:w="0" w:type="dxa"/>
              <w:left w:w="0" w:type="dxa"/>
              <w:bottom w:w="0" w:type="dxa"/>
              <w:right w:w="0" w:type="dxa"/>
            </w:tcMar>
            <w:vAlign w:val="center"/>
          </w:tcPr>
          <w:p>
            <w:pPr>
              <w:widowControl/>
              <w:adjustRightInd w:val="0"/>
              <w:spacing w:line="480" w:lineRule="auto"/>
              <w:ind w:firstLine="560" w:firstLineChars="200"/>
              <w:rPr>
                <w:rFonts w:ascii="宋体" w:hAnsi="宋体" w:eastAsia="宋体" w:cs="宋体"/>
                <w:color w:val="auto"/>
                <w:kern w:val="0"/>
                <w:sz w:val="28"/>
                <w:szCs w:val="28"/>
              </w:rPr>
            </w:pPr>
            <w:r>
              <w:rPr>
                <w:rFonts w:hint="eastAsia" w:ascii="宋体" w:hAnsi="宋体" w:eastAsia="宋体" w:cs="宋体"/>
                <w:color w:val="auto"/>
                <w:kern w:val="0"/>
                <w:sz w:val="28"/>
                <w:szCs w:val="28"/>
              </w:rPr>
              <w:t>传真：</w:t>
            </w:r>
            <w:r>
              <w:rPr>
                <w:rFonts w:hint="eastAsia" w:ascii="宋体" w:hAnsi="宋体" w:eastAsia="宋体" w:cs="宋体"/>
                <w:color w:val="auto"/>
                <w:sz w:val="28"/>
                <w:szCs w:val="28"/>
              </w:rPr>
              <w:t>0591-</w:t>
            </w:r>
            <w:r>
              <w:rPr>
                <w:rFonts w:hint="eastAsia" w:ascii="宋体" w:hAnsi="宋体" w:eastAsia="宋体" w:cs="宋体"/>
                <w:color w:val="auto"/>
                <w:kern w:val="0"/>
                <w:sz w:val="28"/>
                <w:szCs w:val="28"/>
              </w:rPr>
              <w:t>87677861</w:t>
            </w:r>
          </w:p>
        </w:tc>
      </w:tr>
      <w:tr>
        <w:tblPrEx>
          <w:tblCellMar>
            <w:top w:w="15" w:type="dxa"/>
            <w:left w:w="15" w:type="dxa"/>
            <w:bottom w:w="15" w:type="dxa"/>
            <w:right w:w="15" w:type="dxa"/>
          </w:tblCellMar>
        </w:tblPrEx>
        <w:tc>
          <w:tcPr>
            <w:tcW w:w="9400" w:type="dxa"/>
            <w:shd w:val="clear" w:color="auto" w:fill="auto"/>
            <w:tcMar>
              <w:top w:w="0" w:type="dxa"/>
              <w:left w:w="0" w:type="dxa"/>
              <w:bottom w:w="0" w:type="dxa"/>
              <w:right w:w="0" w:type="dxa"/>
            </w:tcMar>
            <w:vAlign w:val="center"/>
          </w:tcPr>
          <w:p>
            <w:pPr>
              <w:widowControl/>
              <w:adjustRightInd w:val="0"/>
              <w:spacing w:line="480" w:lineRule="auto"/>
              <w:ind w:firstLine="560" w:firstLineChars="200"/>
              <w:rPr>
                <w:rFonts w:ascii="宋体" w:hAnsi="宋体" w:eastAsia="宋体" w:cs="宋体"/>
                <w:color w:val="auto"/>
                <w:kern w:val="0"/>
                <w:sz w:val="28"/>
                <w:szCs w:val="28"/>
              </w:rPr>
            </w:pPr>
            <w:r>
              <w:rPr>
                <w:rFonts w:hint="eastAsia" w:ascii="宋体" w:hAnsi="宋体" w:eastAsia="宋体" w:cs="宋体"/>
                <w:color w:val="auto"/>
                <w:kern w:val="0"/>
                <w:sz w:val="28"/>
                <w:szCs w:val="28"/>
              </w:rPr>
              <w:t>邮编：350001</w:t>
            </w:r>
          </w:p>
        </w:tc>
      </w:tr>
    </w:tbl>
    <w:p>
      <w:pPr>
        <w:widowControl/>
        <w:shd w:val="clear" w:color="auto" w:fill="FFFFFF"/>
        <w:spacing w:after="150"/>
        <w:jc w:val="left"/>
        <w:rPr>
          <w:rFonts w:ascii="宋体" w:hAnsi="宋体" w:eastAsia="宋体" w:cs="宋体"/>
          <w:color w:val="auto"/>
          <w:kern w:val="0"/>
          <w:sz w:val="20"/>
          <w:szCs w:val="20"/>
        </w:rPr>
      </w:pPr>
    </w:p>
    <w:p>
      <w:pPr>
        <w:widowControl/>
        <w:shd w:val="clear" w:color="auto" w:fill="FFFFFF"/>
        <w:spacing w:after="150"/>
        <w:jc w:val="left"/>
        <w:rPr>
          <w:rFonts w:ascii="宋体" w:hAnsi="宋体" w:eastAsia="宋体" w:cs="宋体"/>
          <w:color w:val="auto"/>
          <w:kern w:val="0"/>
          <w:sz w:val="20"/>
          <w:szCs w:val="20"/>
        </w:rPr>
      </w:pPr>
    </w:p>
    <w:p>
      <w:pPr>
        <w:widowControl/>
        <w:shd w:val="clear" w:color="auto" w:fill="FFFFFF"/>
        <w:spacing w:after="150"/>
        <w:jc w:val="left"/>
        <w:rPr>
          <w:rFonts w:ascii="宋体" w:hAnsi="宋体" w:eastAsia="宋体" w:cs="宋体"/>
          <w:color w:val="auto"/>
          <w:kern w:val="0"/>
          <w:sz w:val="20"/>
          <w:szCs w:val="20"/>
        </w:rPr>
      </w:pPr>
    </w:p>
    <w:p>
      <w:pPr>
        <w:widowControl/>
        <w:shd w:val="clear" w:color="auto" w:fill="FFFFFF"/>
        <w:spacing w:after="150"/>
        <w:jc w:val="right"/>
        <w:rPr>
          <w:rFonts w:ascii="宋体" w:hAnsi="宋体" w:eastAsia="宋体" w:cs="宋体"/>
          <w:b/>
          <w:bCs/>
          <w:color w:val="auto"/>
          <w:kern w:val="0"/>
          <w:sz w:val="30"/>
        </w:rPr>
      </w:pPr>
      <w:r>
        <w:rPr>
          <w:rFonts w:hint="eastAsia" w:ascii="宋体" w:hAnsi="宋体" w:eastAsia="宋体" w:cs="宋体"/>
          <w:color w:val="auto"/>
          <w:kern w:val="0"/>
          <w:sz w:val="30"/>
        </w:rPr>
        <w:t>签订日期：202</w:t>
      </w:r>
      <w:r>
        <w:rPr>
          <w:rFonts w:hint="eastAsia" w:ascii="宋体" w:hAnsi="宋体" w:eastAsia="宋体" w:cs="宋体"/>
          <w:color w:val="auto"/>
          <w:kern w:val="0"/>
          <w:sz w:val="30"/>
          <w:lang w:val="en-US" w:eastAsia="zh-CN"/>
        </w:rPr>
        <w:t>4</w:t>
      </w:r>
      <w:r>
        <w:rPr>
          <w:rFonts w:hint="eastAsia" w:ascii="宋体" w:hAnsi="宋体" w:eastAsia="宋体" w:cs="宋体"/>
          <w:color w:val="auto"/>
          <w:kern w:val="0"/>
          <w:sz w:val="30"/>
        </w:rPr>
        <w:t>年</w:t>
      </w:r>
      <w:r>
        <w:rPr>
          <w:rFonts w:hint="eastAsia" w:ascii="宋体" w:hAnsi="宋体" w:eastAsia="宋体" w:cs="宋体"/>
          <w:color w:val="auto"/>
          <w:kern w:val="0"/>
          <w:sz w:val="30"/>
          <w:lang w:val="en-US" w:eastAsia="zh-CN"/>
        </w:rPr>
        <w:t>1</w:t>
      </w:r>
      <w:r>
        <w:rPr>
          <w:rFonts w:hint="eastAsia" w:ascii="宋体" w:hAnsi="宋体" w:eastAsia="宋体" w:cs="宋体"/>
          <w:color w:val="auto"/>
          <w:kern w:val="0"/>
          <w:sz w:val="30"/>
        </w:rPr>
        <w:t>月</w:t>
      </w:r>
      <w:r>
        <w:rPr>
          <w:rFonts w:hint="eastAsia" w:ascii="宋体" w:hAnsi="宋体" w:eastAsia="宋体" w:cs="宋体"/>
          <w:color w:val="auto"/>
          <w:kern w:val="0"/>
          <w:sz w:val="30"/>
          <w:lang w:val="en-US" w:eastAsia="zh-CN"/>
        </w:rPr>
        <w:t>25</w:t>
      </w:r>
      <w:r>
        <w:rPr>
          <w:rFonts w:hint="eastAsia" w:ascii="宋体" w:hAnsi="宋体" w:eastAsia="宋体" w:cs="宋体"/>
          <w:color w:val="auto"/>
          <w:kern w:val="0"/>
          <w:sz w:val="30"/>
        </w:rPr>
        <w:t>日</w:t>
      </w:r>
    </w:p>
    <w:p>
      <w:pPr>
        <w:widowControl/>
        <w:shd w:val="clear" w:color="auto" w:fill="FFFFFF"/>
        <w:spacing w:after="120" w:line="420" w:lineRule="atLeast"/>
        <w:ind w:left="596" w:leftChars="284"/>
        <w:jc w:val="left"/>
        <w:rPr>
          <w:rFonts w:ascii="宋体" w:hAnsi="宋体" w:eastAsia="宋体" w:cs="宋体"/>
          <w:color w:val="auto"/>
        </w:rPr>
      </w:pPr>
    </w:p>
    <w:p>
      <w:pPr>
        <w:widowControl/>
        <w:shd w:val="clear" w:color="auto" w:fill="FFFFFF"/>
        <w:spacing w:after="100" w:line="420" w:lineRule="atLeast"/>
        <w:jc w:val="left"/>
        <w:rPr>
          <w:rFonts w:ascii="宋体" w:hAnsi="宋体" w:eastAsia="宋体" w:cs="宋体"/>
          <w:color w:val="auto"/>
        </w:rPr>
      </w:pPr>
    </w:p>
    <w:p>
      <w:pPr>
        <w:widowControl/>
        <w:spacing w:line="500" w:lineRule="exact"/>
        <w:rPr>
          <w:rFonts w:ascii="宋体" w:hAnsi="宋体" w:eastAsia="宋体" w:cs="宋体"/>
          <w:color w:val="auto"/>
        </w:rPr>
      </w:pPr>
    </w:p>
    <w:bookmarkEnd w:id="0"/>
    <w:sectPr>
      <w:footerReference r:id="rId3" w:type="default"/>
      <w:pgSz w:w="11906" w:h="16838"/>
      <w:pgMar w:top="1213" w:right="1253" w:bottom="1213" w:left="1253" w:header="851" w:footer="992" w:gutter="0"/>
      <w:pgNumType w:start="1"/>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onaco">
    <w:altName w:val="Courier New"/>
    <w:panose1 w:val="00000000000000000000"/>
    <w:charset w:val="00"/>
    <w:family w:val="modern"/>
    <w:pitch w:val="default"/>
    <w:sig w:usb0="00000000" w:usb1="00000000" w:usb2="00000000" w:usb3="00000000" w:csb0="00040001" w:csb1="00000000"/>
  </w:font>
  <w:font w:name="FontAwesome">
    <w:altName w:val="微软雅黑"/>
    <w:panose1 w:val="00000000000000000000"/>
    <w:charset w:val="00"/>
    <w:family w:val="auto"/>
    <w:pitch w:val="default"/>
    <w:sig w:usb0="00000000" w:usb1="00000000" w:usb2="00000000" w:usb3="00000000" w:csb0="00040001"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3074" o:spid="_x0000_s3074"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2"/>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25B83B7"/>
    <w:multiLevelType w:val="singleLevel"/>
    <w:tmpl w:val="C25B83B7"/>
    <w:lvl w:ilvl="0" w:tentative="0">
      <w:start w:val="1"/>
      <w:numFmt w:val="decimal"/>
      <w:suff w:val="nothing"/>
      <w:lvlText w:val="%1、"/>
      <w:lvlJc w:val="left"/>
    </w:lvl>
  </w:abstractNum>
  <w:abstractNum w:abstractNumId="1">
    <w:nsid w:val="C4FB86D6"/>
    <w:multiLevelType w:val="singleLevel"/>
    <w:tmpl w:val="C4FB86D6"/>
    <w:lvl w:ilvl="0" w:tentative="0">
      <w:start w:val="1"/>
      <w:numFmt w:val="decimal"/>
      <w:suff w:val="space"/>
      <w:lvlText w:val="%1、"/>
      <w:lvlJc w:val="left"/>
    </w:lvl>
  </w:abstractNum>
  <w:abstractNum w:abstractNumId="2">
    <w:nsid w:val="04A12748"/>
    <w:multiLevelType w:val="singleLevel"/>
    <w:tmpl w:val="04A12748"/>
    <w:lvl w:ilvl="0" w:tentative="0">
      <w:start w:val="2"/>
      <w:numFmt w:val="decimal"/>
      <w:suff w:val="nothing"/>
      <w:lvlText w:val="%1、"/>
      <w:lvlJc w:val="left"/>
    </w:lvl>
  </w:abstractNum>
  <w:abstractNum w:abstractNumId="3">
    <w:nsid w:val="213EC4CB"/>
    <w:multiLevelType w:val="singleLevel"/>
    <w:tmpl w:val="213EC4CB"/>
    <w:lvl w:ilvl="0" w:tentative="0">
      <w:start w:val="1"/>
      <w:numFmt w:val="chineseCounting"/>
      <w:suff w:val="nothing"/>
      <w:lvlText w:val="%1、"/>
      <w:lvlJc w:val="left"/>
      <w:rPr>
        <w:rFonts w:hint="eastAsia"/>
      </w:rPr>
    </w:lvl>
  </w:abstractNum>
  <w:abstractNum w:abstractNumId="4">
    <w:nsid w:val="3D22568E"/>
    <w:multiLevelType w:val="singleLevel"/>
    <w:tmpl w:val="3D22568E"/>
    <w:lvl w:ilvl="0" w:tentative="0">
      <w:start w:val="1"/>
      <w:numFmt w:val="decimal"/>
      <w:suff w:val="nothing"/>
      <w:lvlText w:val="%1、"/>
      <w:lvlJc w:val="left"/>
    </w:lvl>
  </w:abstractNum>
  <w:abstractNum w:abstractNumId="5">
    <w:nsid w:val="59E5DD81"/>
    <w:multiLevelType w:val="singleLevel"/>
    <w:tmpl w:val="59E5DD81"/>
    <w:lvl w:ilvl="0" w:tentative="0">
      <w:start w:val="1"/>
      <w:numFmt w:val="decimal"/>
      <w:suff w:val="nothing"/>
      <w:lvlText w:val="%1、"/>
      <w:lvlJc w:val="left"/>
    </w:lvl>
  </w:abstractNum>
  <w:num w:numId="1">
    <w:abstractNumId w:val="3"/>
  </w:num>
  <w:num w:numId="2">
    <w:abstractNumId w:val="4"/>
  </w:num>
  <w:num w:numId="3">
    <w:abstractNumId w:val="5"/>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hdrShapeDefaults>
    <o:shapelayout v:ext="edit">
      <o:idmap v:ext="edit" data="2,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mU3NDRhZjgwYTJlYWJlZGIzYzA4Y2RlNGQwNGMyMTYifQ=="/>
  </w:docVars>
  <w:rsids>
    <w:rsidRoot w:val="00385567"/>
    <w:rsid w:val="00154CFD"/>
    <w:rsid w:val="0034786E"/>
    <w:rsid w:val="00385567"/>
    <w:rsid w:val="004D318A"/>
    <w:rsid w:val="0060526C"/>
    <w:rsid w:val="00746135"/>
    <w:rsid w:val="007B62CD"/>
    <w:rsid w:val="00AB0064"/>
    <w:rsid w:val="00AD3701"/>
    <w:rsid w:val="00CA72CB"/>
    <w:rsid w:val="094A6B26"/>
    <w:rsid w:val="0BB42FED"/>
    <w:rsid w:val="0DEC3EB0"/>
    <w:rsid w:val="0E1A45C1"/>
    <w:rsid w:val="19430038"/>
    <w:rsid w:val="1A2901A7"/>
    <w:rsid w:val="249356E9"/>
    <w:rsid w:val="263625DD"/>
    <w:rsid w:val="27D054C6"/>
    <w:rsid w:val="30F355EA"/>
    <w:rsid w:val="320E41E7"/>
    <w:rsid w:val="33F054E9"/>
    <w:rsid w:val="365F3400"/>
    <w:rsid w:val="3A29738D"/>
    <w:rsid w:val="3AED3C7F"/>
    <w:rsid w:val="3B6F19B6"/>
    <w:rsid w:val="3BAA4BBF"/>
    <w:rsid w:val="3C5565D9"/>
    <w:rsid w:val="3CE229FF"/>
    <w:rsid w:val="3FDB26FA"/>
    <w:rsid w:val="413260C8"/>
    <w:rsid w:val="4D632752"/>
    <w:rsid w:val="512375A7"/>
    <w:rsid w:val="561135B0"/>
    <w:rsid w:val="5C270E3F"/>
    <w:rsid w:val="5CEB3399"/>
    <w:rsid w:val="5D04151A"/>
    <w:rsid w:val="64A27C2F"/>
    <w:rsid w:val="66C65037"/>
    <w:rsid w:val="685F4576"/>
    <w:rsid w:val="6A390E79"/>
    <w:rsid w:val="70AA0D89"/>
    <w:rsid w:val="7597690C"/>
    <w:rsid w:val="7AB63FD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qFormat="1" w:uiPriority="99" w:name="HTML Code"/>
    <w:lsdException w:qFormat="1" w:uiPriority="99" w:name="HTML Definition"/>
    <w:lsdException w:qFormat="1" w:uiPriority="99" w:name="HTML Keyboard"/>
    <w:lsdException w:uiPriority="99" w:name="HTML Preformatted"/>
    <w:lsdException w:qFormat="1"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autoRedefine/>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link w:val="15"/>
    <w:autoRedefine/>
    <w:semiHidden/>
    <w:unhideWhenUsed/>
    <w:qFormat/>
    <w:uiPriority w:val="99"/>
    <w:pPr>
      <w:tabs>
        <w:tab w:val="center" w:pos="4153"/>
        <w:tab w:val="right" w:pos="8306"/>
      </w:tabs>
      <w:snapToGrid w:val="0"/>
      <w:jc w:val="left"/>
    </w:pPr>
    <w:rPr>
      <w:sz w:val="18"/>
      <w:szCs w:val="18"/>
    </w:rPr>
  </w:style>
  <w:style w:type="paragraph" w:styleId="3">
    <w:name w:val="header"/>
    <w:basedOn w:val="1"/>
    <w:link w:val="14"/>
    <w:autoRedefine/>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autoRedefine/>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autoRedefine/>
    <w:qFormat/>
    <w:uiPriority w:val="22"/>
    <w:rPr>
      <w:b/>
      <w:bCs/>
    </w:rPr>
  </w:style>
  <w:style w:type="character" w:styleId="8">
    <w:name w:val="FollowedHyperlink"/>
    <w:basedOn w:val="6"/>
    <w:autoRedefine/>
    <w:semiHidden/>
    <w:unhideWhenUsed/>
    <w:qFormat/>
    <w:uiPriority w:val="99"/>
    <w:rPr>
      <w:color w:val="337AB7"/>
      <w:u w:val="none"/>
    </w:rPr>
  </w:style>
  <w:style w:type="character" w:styleId="9">
    <w:name w:val="HTML Definition"/>
    <w:basedOn w:val="6"/>
    <w:autoRedefine/>
    <w:semiHidden/>
    <w:unhideWhenUsed/>
    <w:qFormat/>
    <w:uiPriority w:val="99"/>
    <w:rPr>
      <w:i/>
    </w:rPr>
  </w:style>
  <w:style w:type="character" w:styleId="10">
    <w:name w:val="Hyperlink"/>
    <w:basedOn w:val="6"/>
    <w:autoRedefine/>
    <w:semiHidden/>
    <w:unhideWhenUsed/>
    <w:qFormat/>
    <w:uiPriority w:val="99"/>
    <w:rPr>
      <w:color w:val="337AB7"/>
      <w:u w:val="none"/>
    </w:rPr>
  </w:style>
  <w:style w:type="character" w:styleId="11">
    <w:name w:val="HTML Code"/>
    <w:basedOn w:val="6"/>
    <w:autoRedefine/>
    <w:semiHidden/>
    <w:unhideWhenUsed/>
    <w:qFormat/>
    <w:uiPriority w:val="99"/>
    <w:rPr>
      <w:rFonts w:hint="default" w:ascii="Monaco" w:hAnsi="Monaco" w:eastAsia="Monaco" w:cs="Monaco"/>
      <w:color w:val="C7254E"/>
      <w:sz w:val="21"/>
      <w:szCs w:val="21"/>
      <w:shd w:val="clear" w:color="auto" w:fill="F9F2F4"/>
    </w:rPr>
  </w:style>
  <w:style w:type="character" w:styleId="12">
    <w:name w:val="HTML Keyboard"/>
    <w:basedOn w:val="6"/>
    <w:semiHidden/>
    <w:unhideWhenUsed/>
    <w:qFormat/>
    <w:uiPriority w:val="99"/>
    <w:rPr>
      <w:rFonts w:ascii="Monaco" w:hAnsi="Monaco" w:eastAsia="Monaco" w:cs="Monaco"/>
      <w:color w:val="FFFFFF"/>
      <w:sz w:val="21"/>
      <w:szCs w:val="21"/>
      <w:shd w:val="clear" w:color="auto" w:fill="333333"/>
    </w:rPr>
  </w:style>
  <w:style w:type="character" w:styleId="13">
    <w:name w:val="HTML Sample"/>
    <w:basedOn w:val="6"/>
    <w:autoRedefine/>
    <w:semiHidden/>
    <w:unhideWhenUsed/>
    <w:qFormat/>
    <w:uiPriority w:val="99"/>
    <w:rPr>
      <w:rFonts w:hint="default" w:ascii="Monaco" w:hAnsi="Monaco" w:eastAsia="Monaco" w:cs="Monaco"/>
      <w:sz w:val="21"/>
      <w:szCs w:val="21"/>
    </w:rPr>
  </w:style>
  <w:style w:type="character" w:customStyle="1" w:styleId="14">
    <w:name w:val="页眉 Char"/>
    <w:basedOn w:val="6"/>
    <w:link w:val="3"/>
    <w:autoRedefine/>
    <w:semiHidden/>
    <w:qFormat/>
    <w:uiPriority w:val="99"/>
    <w:rPr>
      <w:sz w:val="18"/>
      <w:szCs w:val="18"/>
    </w:rPr>
  </w:style>
  <w:style w:type="character" w:customStyle="1" w:styleId="15">
    <w:name w:val="页脚 Char"/>
    <w:basedOn w:val="6"/>
    <w:link w:val="2"/>
    <w:autoRedefine/>
    <w:semiHidden/>
    <w:qFormat/>
    <w:uiPriority w:val="99"/>
    <w:rPr>
      <w:sz w:val="18"/>
      <w:szCs w:val="18"/>
    </w:rPr>
  </w:style>
  <w:style w:type="character" w:customStyle="1" w:styleId="16">
    <w:name w:val="blue"/>
    <w:basedOn w:val="6"/>
    <w:autoRedefine/>
    <w:qFormat/>
    <w:uiPriority w:val="0"/>
  </w:style>
  <w:style w:type="character" w:customStyle="1" w:styleId="17">
    <w:name w:val="before"/>
    <w:basedOn w:val="6"/>
    <w:autoRedefine/>
    <w:qFormat/>
    <w:uiPriority w:val="0"/>
    <w:rPr>
      <w:rFonts w:hint="default" w:ascii="FontAwesome" w:hAnsi="FontAwesome" w:eastAsia="FontAwesome" w:cs="FontAwesome"/>
      <w:color w:val="888888"/>
      <w:sz w:val="18"/>
      <w:szCs w:val="18"/>
    </w:rPr>
  </w:style>
  <w:style w:type="character" w:customStyle="1" w:styleId="18">
    <w:name w:val="before1"/>
    <w:basedOn w:val="6"/>
    <w:autoRedefine/>
    <w:qFormat/>
    <w:uiPriority w:val="0"/>
    <w:rPr>
      <w:rFonts w:hint="default" w:ascii="FontAwesome" w:hAnsi="FontAwesome" w:eastAsia="FontAwesome" w:cs="FontAwesome"/>
      <w:color w:val="888888"/>
      <w:sz w:val="18"/>
      <w:szCs w:val="18"/>
    </w:rPr>
  </w:style>
  <w:style w:type="character" w:customStyle="1" w:styleId="19">
    <w:name w:val="input-icon"/>
    <w:basedOn w:val="6"/>
    <w:autoRedefine/>
    <w:qFormat/>
    <w:uiPriority w:val="0"/>
  </w:style>
  <w:style w:type="character" w:customStyle="1" w:styleId="20">
    <w:name w:val="active3"/>
    <w:basedOn w:val="6"/>
    <w:autoRedefine/>
    <w:qFormat/>
    <w:uiPriority w:val="0"/>
    <w:rPr>
      <w:shd w:val="clear" w:color="auto" w:fill="EC3535"/>
    </w:rPr>
  </w:style>
  <w:style w:type="character" w:customStyle="1" w:styleId="21">
    <w:name w:val="ui-jqgrid-resize"/>
    <w:basedOn w:val="6"/>
    <w:autoRedefine/>
    <w:qFormat/>
    <w:uiPriority w:val="0"/>
  </w:style>
  <w:style w:type="character" w:customStyle="1" w:styleId="22">
    <w:name w:val="ui-jqgrid-resize1"/>
    <w:basedOn w:val="6"/>
    <w:autoRedefine/>
    <w:qFormat/>
    <w:uiPriority w:val="0"/>
  </w:style>
  <w:style w:type="character" w:customStyle="1" w:styleId="23">
    <w:name w:val="ui-icon24"/>
    <w:basedOn w:val="6"/>
    <w:autoRedefine/>
    <w:qFormat/>
    <w:uiPriority w:val="0"/>
  </w:style>
  <w:style w:type="character" w:customStyle="1" w:styleId="24">
    <w:name w:val="input-icon2"/>
    <w:basedOn w:val="6"/>
    <w:autoRedefine/>
    <w:qFormat/>
    <w:uiPriority w:val="0"/>
  </w:style>
  <w:style w:type="paragraph" w:customStyle="1" w:styleId="25">
    <w:name w:val="Fließtext"/>
    <w:basedOn w:val="1"/>
    <w:autoRedefine/>
    <w:qFormat/>
    <w:uiPriority w:val="0"/>
    <w:pPr>
      <w:overflowPunct w:val="0"/>
      <w:autoSpaceDE w:val="0"/>
      <w:autoSpaceDN w:val="0"/>
      <w:adjustRightInd w:val="0"/>
      <w:textAlignment w:val="baseline"/>
    </w:pPr>
    <w:rPr>
      <w:kern w:val="28"/>
      <w:szCs w:val="20"/>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3074"/>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中国石油大学</Company>
  <Pages>10</Pages>
  <Words>683</Words>
  <Characters>3894</Characters>
  <Lines>32</Lines>
  <Paragraphs>9</Paragraphs>
  <TotalTime>9</TotalTime>
  <ScaleCrop>false</ScaleCrop>
  <LinksUpToDate>false</LinksUpToDate>
  <CharactersWithSpaces>4568</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2018-11-28T03:26:00Z</dcterms:created>
  <dc:creator>SkyUser</dc:creator>
  <cp:lastModifiedBy>陈必</cp:lastModifiedBy>
  <cp:lastPrinted>2022-06-23T10:30:00Z</cp:lastPrinted>
  <dcterms:modified xsi:type="dcterms:W3CDTF">2024-03-25T03:48:20Z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81BED25FB5EE4BB19C3C8FDA5A2AD0BC</vt:lpwstr>
  </property>
</Properties>
</file>