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全省禁毒公益宣传“亮屏”工程</w:t>
      </w:r>
    </w:p>
    <w:p>
      <w:pPr>
        <w:pStyle w:val="null3"/>
        <w:jc w:val="center"/>
        <w:outlineLvl w:val="2"/>
      </w:pPr>
      <w:r>
        <w:rPr>
          <w:b/>
          <w:sz w:val="28"/>
        </w:rPr>
        <w:t>备案编号：</w:t>
      </w:r>
      <w:r>
        <w:rPr>
          <w:b/>
          <w:sz w:val="28"/>
        </w:rPr>
        <w:t>CGXM-2024-350001-03426[2024]02877</w:t>
      </w:r>
    </w:p>
    <w:p>
      <w:pPr>
        <w:pStyle w:val="null3"/>
        <w:jc w:val="center"/>
        <w:outlineLvl w:val="2"/>
      </w:pPr>
      <w:r>
        <w:rPr>
          <w:b/>
          <w:sz w:val="28"/>
        </w:rPr>
        <w:t>项目编号：</w:t>
      </w:r>
      <w:r>
        <w:rPr>
          <w:b/>
          <w:sz w:val="28"/>
        </w:rPr>
        <w:t>[350001]FJSXZB[GK]2024010</w:t>
      </w:r>
    </w:p>
    <w:p>
      <w:pPr>
        <w:pStyle w:val="null3"/>
        <w:jc w:val="center"/>
        <w:outlineLvl w:val="2"/>
      </w:pPr>
      <w:r>
        <w:rPr>
          <w:b/>
          <w:sz w:val="28"/>
        </w:rPr>
        <w:t>采购人：</w:t>
      </w:r>
      <w:r>
        <w:rPr>
          <w:b/>
          <w:sz w:val="28"/>
        </w:rPr>
        <w:t>福建省禁毒委员会办公室</w:t>
      </w:r>
    </w:p>
    <w:p>
      <w:pPr>
        <w:pStyle w:val="null3"/>
        <w:jc w:val="center"/>
        <w:outlineLvl w:val="2"/>
      </w:pPr>
      <w:r>
        <w:rPr>
          <w:b/>
          <w:sz w:val="28"/>
        </w:rPr>
        <w:t>代理机构：</w:t>
      </w:r>
      <w:r>
        <w:rPr>
          <w:b/>
          <w:sz w:val="28"/>
        </w:rPr>
        <w:t>福建盛鑫招标代理有限公司</w:t>
      </w:r>
    </w:p>
    <w:p>
      <w:pPr>
        <w:pStyle w:val="null3"/>
        <w:jc w:val="center"/>
        <w:outlineLvl w:val="2"/>
      </w:pPr>
      <w:r>
        <w:rPr>
          <w:b/>
          <w:sz w:val="28"/>
        </w:rPr>
        <w:t>编制时间</w:t>
      </w:r>
      <w:r>
        <w:rPr>
          <w:b/>
          <w:sz w:val="28"/>
        </w:rPr>
        <w:t>：</w:t>
      </w:r>
      <w:r>
        <w:rPr>
          <w:b/>
          <w:sz w:val="28"/>
        </w:rPr>
        <w:t>2024年06月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福建盛鑫招标代理有限公司</w:t>
      </w:r>
      <w:r>
        <w:rPr/>
        <w:t xml:space="preserve"> 采用公开招标方式组织 </w:t>
      </w:r>
      <w:r>
        <w:rPr/>
        <w:t>全省禁毒公益宣传“亮屏”工程</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CGXM-2024-350001-03426[2024]02877</w:t>
      </w:r>
    </w:p>
    <w:p>
      <w:pPr>
        <w:pStyle w:val="null3"/>
        <w:ind w:firstLine="480"/>
        <w:jc w:val="left"/>
        <w:outlineLvl w:val="2"/>
      </w:pPr>
      <w:r>
        <w:rPr>
          <w:b/>
          <w:sz w:val="28"/>
        </w:rPr>
        <w:t>2、项目编号</w:t>
      </w:r>
      <w:r>
        <w:rPr>
          <w:b/>
          <w:sz w:val="28"/>
        </w:rPr>
        <w:t>：</w:t>
      </w:r>
      <w:r>
        <w:rPr>
          <w:b/>
          <w:sz w:val="28"/>
        </w:rPr>
        <w:t>[350001]FJSXZB[GK]2024010</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8306"/>
            <w:gridSpan w:val="2"/>
          </w:tcPr>
          <w:p>
            <w:pPr>
              <w:pStyle w:val="null3"/>
              <w:jc w:val="both"/>
            </w:pPr>
            <w:r>
              <w:rPr/>
              <w:t xml:space="preserve"> 无</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福建省禁毒委员会办公室</w:t>
      </w:r>
    </w:p>
    <w:p>
      <w:pPr>
        <w:pStyle w:val="null3"/>
        <w:ind w:firstLine="960"/>
        <w:jc w:val="left"/>
      </w:pPr>
      <w:r>
        <w:rPr/>
        <w:t xml:space="preserve"> 地址： </w:t>
      </w:r>
      <w:r>
        <w:rPr/>
        <w:t>福州市鼓楼区华林路12号</w:t>
      </w:r>
    </w:p>
    <w:p>
      <w:pPr>
        <w:pStyle w:val="null3"/>
        <w:jc w:val="left"/>
      </w:pPr>
      <w:r>
        <w:rPr/>
        <w:t xml:space="preserve"> 邮编： </w:t>
      </w:r>
      <w:r>
        <w:rPr/>
        <w:t>350001</w:t>
      </w:r>
    </w:p>
    <w:p>
      <w:pPr>
        <w:pStyle w:val="null3"/>
        <w:jc w:val="left"/>
      </w:pPr>
      <w:r>
        <w:rPr/>
        <w:t xml:space="preserve"> 联系人： </w:t>
      </w:r>
      <w:r>
        <w:rPr/>
        <w:t>刘洋</w:t>
      </w:r>
    </w:p>
    <w:p>
      <w:pPr>
        <w:pStyle w:val="null3"/>
        <w:jc w:val="left"/>
      </w:pPr>
      <w:r>
        <w:rPr/>
        <w:t xml:space="preserve"> 联系电话： </w:t>
      </w:r>
      <w:r>
        <w:rPr/>
        <w:t>0591-87094430</w:t>
      </w:r>
    </w:p>
    <w:p>
      <w:pPr>
        <w:pStyle w:val="null3"/>
        <w:ind w:firstLine="480"/>
        <w:jc w:val="left"/>
        <w:outlineLvl w:val="2"/>
      </w:pPr>
      <w:r>
        <w:rPr>
          <w:b/>
          <w:sz w:val="28"/>
        </w:rPr>
        <w:t>12、代理机构</w:t>
      </w:r>
      <w:r>
        <w:rPr>
          <w:b/>
          <w:sz w:val="28"/>
        </w:rPr>
        <w:t>：</w:t>
      </w:r>
      <w:r>
        <w:rPr>
          <w:b/>
          <w:sz w:val="28"/>
        </w:rPr>
        <w:t>福建盛鑫招标代理有限公司</w:t>
      </w:r>
    </w:p>
    <w:p>
      <w:pPr>
        <w:pStyle w:val="null3"/>
        <w:ind w:firstLine="960"/>
        <w:jc w:val="both"/>
      </w:pPr>
      <w:r>
        <w:rPr/>
        <w:t xml:space="preserve"> 地址： </w:t>
      </w:r>
      <w:r>
        <w:rPr/>
        <w:t>鼓东街道湖东路79号福建外运大厦七层西区</w:t>
      </w:r>
    </w:p>
    <w:p>
      <w:pPr>
        <w:pStyle w:val="null3"/>
        <w:jc w:val="both"/>
      </w:pPr>
      <w:r>
        <w:rPr/>
        <w:t xml:space="preserve"> 邮编： </w:t>
      </w:r>
      <w:r>
        <w:rPr/>
        <w:t>350001</w:t>
      </w:r>
    </w:p>
    <w:p>
      <w:pPr>
        <w:pStyle w:val="null3"/>
        <w:jc w:val="both"/>
      </w:pPr>
      <w:r>
        <w:rPr/>
        <w:t xml:space="preserve"> 联系人： </w:t>
      </w:r>
      <w:r>
        <w:rPr/>
        <w:t>蓝斌、郑淑明、高梦思、刘菁菁</w:t>
      </w:r>
    </w:p>
    <w:p>
      <w:pPr>
        <w:pStyle w:val="null3"/>
        <w:jc w:val="both"/>
      </w:pPr>
      <w:r>
        <w:rPr/>
        <w:t xml:space="preserve"> 联系电话： </w:t>
      </w:r>
      <w:r>
        <w:rPr/>
        <w:t xml:space="preserve"> 0591-83508520</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福建盛鑫招标代理有限公司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800,000.00</w:t>
      </w:r>
    </w:p>
    <w:p>
      <w:pPr>
        <w:pStyle w:val="null3"/>
        <w:jc w:val="left"/>
      </w:pPr>
      <w:r>
        <w:rPr/>
        <w:t>采购包最高限价（元）: 800,000.00</w:t>
      </w:r>
    </w:p>
    <w:p>
      <w:pPr>
        <w:pStyle w:val="null3"/>
        <w:jc w:val="left"/>
      </w:pPr>
      <w:r>
        <w:rPr/>
        <w:t>采购包保证金金额（元）: 8,000.00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全省禁毒公益宣传亮屏工程</w:t>
            </w:r>
          </w:p>
        </w:tc>
        <w:tc>
          <w:tcPr>
            <w:tcW w:type="dxa" w:w="1187"/>
          </w:tcPr>
          <w:p>
            <w:pPr>
              <w:pStyle w:val="null3"/>
              <w:jc w:val="right"/>
            </w:pPr>
            <w:r>
              <w:rPr/>
              <w:t>1.00</w:t>
            </w:r>
          </w:p>
        </w:tc>
        <w:tc>
          <w:tcPr>
            <w:tcW w:type="dxa" w:w="1187"/>
          </w:tcPr>
          <w:p>
            <w:pPr>
              <w:pStyle w:val="null3"/>
              <w:jc w:val="right"/>
            </w:pPr>
            <w:r>
              <w:rPr/>
              <w:t>800,000.00</w:t>
            </w:r>
          </w:p>
        </w:tc>
        <w:tc>
          <w:tcPr>
            <w:tcW w:type="dxa" w:w="1187"/>
          </w:tcPr>
          <w:p>
            <w:pPr>
              <w:pStyle w:val="null3"/>
              <w:jc w:val="left"/>
            </w:pPr>
            <w:r>
              <w:rPr/>
              <w:t>次</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福建盛鑫招标代理有限公司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代理服务费收费标准：本项目招标代理服务费 按5000元 向中标人收取。中标人应在领取中标通知书前以现金、转帐、电汇等付款方式一次性向招标代理机构缴纳代理服务费。代理服务费支付至以下账户：开户名：福建盛鑫招标代理有限公司；开户行：中信银行福州分行；账号：7341 0101 826 0022 7015。</w:t>
            </w:r>
          </w:p>
          <w:p>
            <w:pPr>
              <w:pStyle w:val="null3"/>
              <w:jc w:val="left"/>
            </w:pPr>
            <w:r>
              <w:rPr/>
              <w:t xml:space="preserve"> (2)其他：</w:t>
            </w:r>
          </w:p>
          <w:p>
            <w:pPr>
              <w:pStyle w:val="null3"/>
              <w:jc w:val="left"/>
            </w:pPr>
            <w:r>
              <w:rPr/>
              <w:t>（1）无效标条款： 以下为可能导致投标无效的条款，具体内容详见招标文件各章节，请各投标人认真查看对照。 ①投标有效期不符合招标文件第二章投标人须知前附表中表1第4项号规定的； ②出现招标文件第二章投标人须知前附表中表2“关于电子招标投标活动的专门规定”中投标无效规定的； ③出现招标文件第三章投标人须知第9项、第10.6项、第10.8项、第10.9项、第10.12项条款中投标无效规定的； ④出现招标文件第四章资格审查与评标第1.4项、第6.2项、第6.3项、第6.4项、第6.7项、第6.9项、第7项、第8.3项条款中投标无效规定的； ⑤出现招标文件第五章招标内容及要求中投标无效规定或“★”标示的内容为负偏离的。（2）质疑受理的其他要求： ①质疑人为法人或其他组织的，质疑函需加盖质疑人单位公章；若本项目接受自然人投标且质疑人为自然人的，质疑函需质疑人本人签名。否则质疑将不予受理。 ②在法定质疑期内质疑人须一次性提出针对同一采购程序环节的质疑，二（多）次质疑不予受理。 ③质疑人在递交质疑函时除应提供本招标文件规定的相关材料外，还须提供质疑人已在福建省政府采购网上公开信息系统上获取招标文件的证明文件（体现查看时间或获取招标文件时间，查看时间或获取招标文件时间以福建省政府采购网上公开信息系统记载为准。），否则递交的质疑函将不予受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 xml:space="preserve">“招标文件的质疑 （1）潜在投标人可在质疑时效期间内对招标文件以书面形式提出质疑。 （2）质疑时效期间：应在依法获取招标文件之日起7个工作日内向{代理机构}提出，依法获取招标文件的时间以福建省政府采购网上公开信息系统记载的为准。 ※除上述规定外，对招标文件提出的质疑还应符合招标文件第三章第15.1条的有关规定。” </w:t>
            </w:r>
            <w:r>
              <w:rPr/>
              <w:t xml:space="preserve"> 的内容修正为下列内容：</w:t>
            </w:r>
          </w:p>
          <w:p>
            <w:pPr>
              <w:pStyle w:val="null3"/>
              <w:jc w:val="left"/>
            </w:pPr>
            <w:r>
              <w:rPr/>
              <w:t xml:space="preserve">“（1）潜在投标人可在质疑时效期间内对招标文件以书面形式提出质疑。（2）质疑时效期间：①在招标文件公告期限内：自招标文件首次下载之日起7个工作日内向福建盛鑫招标代理有限公司提出，招标文件公告期限、首次下载之日均以福建省政府采购网上公开信息系统记载的为准。②在招标文件公告期限截止后至招标文件提供期限届满前的期间内：自招标文件公告期限届满之日起7个工作日内向福建盛鑫招标代理有限公司提出，招标文件公告期限、招标文件提供期限均以福建省政府采购网上公开信息系统记载的为准。※除上述规定外，对招标文件提出的质疑还应符合招标文件第三章第15.1条的有关规定。” </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单位授权书需具有授权人签字（非录入），否则按无效标处理。b.技术和服务要求响应表未按“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编制的按负偏离认定。c.招标文件要求的佐证材料中，要求加盖投标人公章的，投标人电子投标文件中应为证明材料加盖投标人公章后扫描上传材料，否则按负偏离认定。</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福建盛鑫招标代理有限公司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福建盛鑫招标代理有限公司</w:t>
      </w:r>
      <w:r>
        <w:rPr/>
        <w:t xml:space="preserve"> 将在投标截止时间至少15个日历日前，在招标文件载明的指定媒体以更正公告的形式发布澄清或修改的内容。不足15个日历日的， </w:t>
      </w:r>
      <w:r>
        <w:rPr/>
        <w:t>福建盛鑫招标代理有限公司</w:t>
      </w:r>
      <w:r>
        <w:rPr/>
        <w:t xml:space="preserve"> 将顺延投标截止时间及开标时间， </w:t>
      </w:r>
      <w:r>
        <w:rPr/>
        <w:t>福建盛鑫招标代理有限公司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福建盛鑫招标代理有限公司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福建盛鑫招标代理有限公司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福建盛鑫招标代理有限公司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福建盛鑫招标代理有限公司</w:t>
      </w:r>
      <w:r>
        <w:rPr/>
        <w:t xml:space="preserve"> 可终止招标并发布终止公告。</w:t>
      </w:r>
    </w:p>
    <w:p>
      <w:pPr>
        <w:pStyle w:val="null3"/>
        <w:ind w:firstLine="480"/>
        <w:jc w:val="both"/>
      </w:pPr>
      <w:r>
        <w:rPr/>
        <w:t xml:space="preserve">8.2终止公告作为 </w:t>
      </w:r>
      <w:r>
        <w:rPr/>
        <w:t>福建盛鑫招标代理有限公司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福建盛鑫招标代理有限公司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福建盛鑫招标代理有限公司</w:t>
      </w:r>
      <w:r>
        <w:rPr/>
        <w:t xml:space="preserve"> 可于投标有效期届满之前书面要求投标人延长投标有效期，投标人应在 </w:t>
      </w:r>
      <w:r>
        <w:rPr/>
        <w:t>福建盛鑫招标代理有限公司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福建盛鑫招标代理有限公司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福建盛鑫招标代理有限公司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福建盛鑫招标代理有限公司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福建盛鑫招标代理有限公司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福建盛鑫招标代理有限公司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福建盛鑫招标代理有限公司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福建盛鑫招标代理有限公司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福建盛鑫招标代理有限公司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福建盛鑫招标代理有限公司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福建盛鑫招标代理有限公司</w:t>
      </w:r>
      <w:r>
        <w:rPr/>
        <w:t xml:space="preserve"> 提出询问， </w:t>
      </w:r>
      <w:r>
        <w:rPr/>
        <w:t>福建盛鑫招标代理有限公司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福建盛鑫招标代理有限公司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福建盛鑫招标代理有限公司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由福建盛鑫招标代理有限公司派出的工作人员至少1人，</w:t>
      </w:r>
      <w:r>
        <w:rPr/>
        <w:t>其余1人可为采购人代表或福建盛鑫招标代理有限公司的工作人员。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福建盛鑫招标代理有限公司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福建盛鑫招标代理有限公司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福建盛鑫招标代理有限公司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福建盛鑫招标代理有限公司</w:t>
      </w:r>
      <w:r>
        <w:rPr/>
        <w:t xml:space="preserve"> 统一对外发布。</w:t>
      </w:r>
    </w:p>
    <w:p>
      <w:pPr>
        <w:pStyle w:val="null3"/>
        <w:ind w:firstLine="480"/>
        <w:jc w:val="both"/>
      </w:pPr>
      <w:r>
        <w:rPr/>
        <w:t xml:space="preserve">②对 </w:t>
      </w:r>
      <w:r>
        <w:rPr/>
        <w:t>福建盛鑫招标代理有限公司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投标人的技术部分实际得分少于招标文件设定的技术部分总分50%的</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不满足第五章 招标内容及要求“三、商务条件”的，其投标无效。</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福建盛鑫招标代理有限公司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价格项（F1×A1）满分为20.00分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 30%以上的，对联合体或者大中型企业的报价扣除比例为5%（工程项目为2%）】，用扣除后的价格参加评审。投标人须提供合格的中小企业声明函，否则不予价格扣除。 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 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4、招标文件规定与政府采购相关法律、法规、制度等有冲突的，以现行法律、法规、制度等执行。5、本项目采购标的对应的中小企业划分标准所属行业为：“其他未列明行业”。</w:t>
            </w:r>
          </w:p>
        </w:tc>
      </w:tr>
    </w:tbl>
    <w:p>
      <w:pPr>
        <w:pStyle w:val="null3"/>
        <w:jc w:val="both"/>
      </w:pPr>
      <w:r>
        <w:rPr/>
        <w:t>其他：无</w:t>
      </w:r>
    </w:p>
    <w:p>
      <w:pPr>
        <w:pStyle w:val="null3"/>
        <w:jc w:val="both"/>
      </w:pPr>
      <w:r>
        <w:rPr/>
        <w:t>技术项（F2×A2）满分为65.00分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服务内容响应情况</w:t>
            </w:r>
          </w:p>
        </w:tc>
        <w:tc>
          <w:tcPr>
            <w:tcW w:type="dxa" w:w="831"/>
          </w:tcPr>
          <w:p>
            <w:pPr>
              <w:pStyle w:val="null3"/>
              <w:jc w:val="right"/>
            </w:pPr>
            <w:r>
              <w:rPr/>
              <w:t>52.50</w:t>
            </w:r>
          </w:p>
        </w:tc>
        <w:tc>
          <w:tcPr>
            <w:tcW w:type="dxa" w:w="4153"/>
          </w:tcPr>
          <w:p>
            <w:pPr>
              <w:pStyle w:val="null3"/>
              <w:jc w:val="both"/>
            </w:pPr>
            <w:r>
              <w:rPr/>
              <w:t>根据投标人对招标文件《第五章 招标内容及要求》“二、技术和服务要求”的逐项响应承诺情况由评标委员会进行评分，标注“★”号的技术参数出现一项负偏离或未响应的均视为未实质性响应招标文件要求，按无效投标处理；未标注“★”号的技术参数共21项每负偏离一项扣2.5分；完全满足或优于招标文件要求的得52.5分。</w:t>
            </w:r>
          </w:p>
        </w:tc>
      </w:tr>
      <w:tr>
        <w:tc>
          <w:tcPr>
            <w:tcW w:type="dxa" w:w="3322"/>
          </w:tcPr>
          <w:p>
            <w:pPr>
              <w:pStyle w:val="null3"/>
              <w:jc w:val="both"/>
            </w:pPr>
            <w:r>
              <w:rPr/>
              <w:t>全省有线数字电视开机画面广告宣传</w:t>
            </w:r>
          </w:p>
        </w:tc>
        <w:tc>
          <w:tcPr>
            <w:tcW w:type="dxa" w:w="831"/>
          </w:tcPr>
          <w:p>
            <w:pPr>
              <w:pStyle w:val="null3"/>
              <w:jc w:val="right"/>
            </w:pPr>
            <w:r>
              <w:rPr/>
              <w:t>3.00</w:t>
            </w:r>
          </w:p>
        </w:tc>
        <w:tc>
          <w:tcPr>
            <w:tcW w:type="dxa" w:w="4153"/>
          </w:tcPr>
          <w:p>
            <w:pPr>
              <w:pStyle w:val="null3"/>
              <w:jc w:val="both"/>
            </w:pPr>
            <w:r>
              <w:rPr/>
              <w:t>投标人应提供2019年后全省十地市（含平潭）投放有线数字电视开机广告业务实例及刊播证明材料，由评委进行评分：提供投放地市≥10地市证明材料得3分；提供10地市＜投放地市≤6地市证明材料的得2分；提供6地市＜投放地市≤1地市证明材料的得1分；未提供证明材料的不得分。</w:t>
            </w:r>
          </w:p>
        </w:tc>
      </w:tr>
      <w:tr>
        <w:tc>
          <w:tcPr>
            <w:tcW w:type="dxa" w:w="3322"/>
          </w:tcPr>
          <w:p>
            <w:pPr>
              <w:pStyle w:val="null3"/>
              <w:jc w:val="both"/>
            </w:pPr>
            <w:r>
              <w:rPr/>
              <w:t>全省户外大屏宣传</w:t>
            </w:r>
          </w:p>
        </w:tc>
        <w:tc>
          <w:tcPr>
            <w:tcW w:type="dxa" w:w="831"/>
          </w:tcPr>
          <w:p>
            <w:pPr>
              <w:pStyle w:val="null3"/>
              <w:jc w:val="right"/>
            </w:pPr>
            <w:r>
              <w:rPr/>
              <w:t>3.00</w:t>
            </w:r>
          </w:p>
        </w:tc>
        <w:tc>
          <w:tcPr>
            <w:tcW w:type="dxa" w:w="4153"/>
          </w:tcPr>
          <w:p>
            <w:pPr>
              <w:pStyle w:val="null3"/>
              <w:jc w:val="both"/>
            </w:pPr>
            <w:r>
              <w:rPr/>
              <w:t>投标人应提供所有点位文字说明及照片，由评委进行评分：要求选址合理、可行且说明详细，提供所有点位得3分；提供50%以上点位得1.5分；未提供或提供数量不符合要求的不得分。</w:t>
            </w:r>
          </w:p>
        </w:tc>
      </w:tr>
      <w:tr>
        <w:tc>
          <w:tcPr>
            <w:tcW w:type="dxa" w:w="3322"/>
          </w:tcPr>
          <w:p>
            <w:pPr>
              <w:pStyle w:val="null3"/>
              <w:jc w:val="both"/>
            </w:pPr>
            <w:r>
              <w:rPr/>
              <w:t>人民日报电子阅报栏广告宣传</w:t>
            </w:r>
          </w:p>
        </w:tc>
        <w:tc>
          <w:tcPr>
            <w:tcW w:type="dxa" w:w="831"/>
          </w:tcPr>
          <w:p>
            <w:pPr>
              <w:pStyle w:val="null3"/>
              <w:jc w:val="right"/>
            </w:pPr>
            <w:r>
              <w:rPr/>
              <w:t>3.00</w:t>
            </w:r>
          </w:p>
        </w:tc>
        <w:tc>
          <w:tcPr>
            <w:tcW w:type="dxa" w:w="4153"/>
          </w:tcPr>
          <w:p>
            <w:pPr>
              <w:pStyle w:val="null3"/>
              <w:jc w:val="both"/>
            </w:pPr>
            <w:r>
              <w:rPr/>
              <w:t>投标人提供人民日报电子阅报栏数量不少于570面，其中点位分布在党政机关不少于400面，高校不少于70面。点位明细应包含所投放的单位名称、所属区域、数量等字段，提供所有点位得3分；提供50%以上点位得1.5分；未提供或提供数量不符合要求的不得分。</w:t>
            </w:r>
          </w:p>
        </w:tc>
      </w:tr>
      <w:tr>
        <w:tc>
          <w:tcPr>
            <w:tcW w:type="dxa" w:w="3322"/>
          </w:tcPr>
          <w:p>
            <w:pPr>
              <w:pStyle w:val="null3"/>
              <w:jc w:val="both"/>
            </w:pPr>
            <w:r>
              <w:rPr/>
              <w:t>省级纸媒广告投放</w:t>
            </w:r>
          </w:p>
        </w:tc>
        <w:tc>
          <w:tcPr>
            <w:tcW w:type="dxa" w:w="831"/>
          </w:tcPr>
          <w:p>
            <w:pPr>
              <w:pStyle w:val="null3"/>
              <w:jc w:val="right"/>
            </w:pPr>
            <w:r>
              <w:rPr/>
              <w:t>3.50</w:t>
            </w:r>
          </w:p>
        </w:tc>
        <w:tc>
          <w:tcPr>
            <w:tcW w:type="dxa" w:w="4153"/>
          </w:tcPr>
          <w:p>
            <w:pPr>
              <w:pStyle w:val="null3"/>
              <w:jc w:val="both"/>
            </w:pPr>
            <w:r>
              <w:rPr/>
              <w:t>以“2024 福建禁毒·媒体采风行 ”系列活动为重要要素，在省级纸媒《福建日报》刊登专栏宣传，专栏位置需满足投标文件要求，并提供该媒体针对此次投放的授权书的得3.5分，未按要求提供的不得分。</w:t>
            </w:r>
          </w:p>
        </w:tc>
      </w:tr>
    </w:tbl>
    <w:p>
      <w:pPr>
        <w:pStyle w:val="null3"/>
        <w:jc w:val="both"/>
      </w:pPr>
      <w:r>
        <w:rPr/>
        <w:t>商务项（F3×A3）满分为15.00分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服务团队1</w:t>
            </w:r>
          </w:p>
        </w:tc>
        <w:tc>
          <w:tcPr>
            <w:tcW w:type="dxa" w:w="831"/>
          </w:tcPr>
          <w:p>
            <w:pPr>
              <w:pStyle w:val="null3"/>
              <w:jc w:val="right"/>
            </w:pPr>
            <w:r>
              <w:rPr/>
              <w:t>3.00</w:t>
            </w:r>
          </w:p>
        </w:tc>
        <w:tc>
          <w:tcPr>
            <w:tcW w:type="dxa" w:w="4153"/>
          </w:tcPr>
          <w:p>
            <w:pPr>
              <w:pStyle w:val="null3"/>
              <w:jc w:val="both"/>
            </w:pPr>
            <w:r>
              <w:rPr/>
              <w:t>投标人提供拟派本次项目执行团队人员（包含全资子公司及其分公司）架构，由评委进行评分：人员架构完整、全面、合理可行，团队人员不少于15人，其中要求持有高级职称证书人员不少于5人，持有中级职称证书人员不少于10人的得3分；人员架构比较完整、比较全面、比较合理，团队人员不少于10人，其中要求持有高级职称证书人员不少于3人，持有中级职称证书人员不少于5人。得2分；人员架构简略、不够全面，合理性一般，人员不满足上述条件的得1分；注：须提供职称证书复印件和响应文件递交截止时间前六个月（不含响应文件递交截止时间的当月）中任一月份的在投标人单位缴纳的社保证明复印件，全资子公司的还应提供股权证明材料，否则不得分。</w:t>
            </w:r>
          </w:p>
        </w:tc>
      </w:tr>
      <w:tr>
        <w:tc>
          <w:tcPr>
            <w:tcW w:type="dxa" w:w="3322"/>
          </w:tcPr>
          <w:p>
            <w:pPr>
              <w:pStyle w:val="null3"/>
              <w:jc w:val="both"/>
            </w:pPr>
            <w:r>
              <w:rPr/>
              <w:t>服务团队2</w:t>
            </w:r>
          </w:p>
        </w:tc>
        <w:tc>
          <w:tcPr>
            <w:tcW w:type="dxa" w:w="831"/>
          </w:tcPr>
          <w:p>
            <w:pPr>
              <w:pStyle w:val="null3"/>
              <w:jc w:val="right"/>
            </w:pPr>
            <w:r>
              <w:rPr/>
              <w:t>3.00</w:t>
            </w:r>
          </w:p>
        </w:tc>
        <w:tc>
          <w:tcPr>
            <w:tcW w:type="dxa" w:w="4153"/>
          </w:tcPr>
          <w:p>
            <w:pPr>
              <w:pStyle w:val="null3"/>
              <w:jc w:val="both"/>
            </w:pPr>
            <w:r>
              <w:rPr/>
              <w:t>投标人针对本项目拟投入的服务团队人员（包含全资子公司及其分公司）中具备”网络视听节目审核员”的，每提供1名得1分，满分3分。注：须提供证书复印件和响应文件递交截止时间前六个月（不含响应文件递交截止时间的当月）中任一月份的在投标人单位缴纳的社保证明复印件，全资子公司的还应提供股权证明材料，否则不得分。</w:t>
            </w:r>
          </w:p>
        </w:tc>
      </w:tr>
      <w:tr>
        <w:tc>
          <w:tcPr>
            <w:tcW w:type="dxa" w:w="3322"/>
          </w:tcPr>
          <w:p>
            <w:pPr>
              <w:pStyle w:val="null3"/>
              <w:jc w:val="both"/>
            </w:pPr>
            <w:r>
              <w:rPr/>
              <w:t>满意度调查</w:t>
            </w:r>
          </w:p>
        </w:tc>
        <w:tc>
          <w:tcPr>
            <w:tcW w:type="dxa" w:w="831"/>
          </w:tcPr>
          <w:p>
            <w:pPr>
              <w:pStyle w:val="null3"/>
              <w:jc w:val="right"/>
            </w:pPr>
            <w:r>
              <w:rPr/>
              <w:t>3.00</w:t>
            </w:r>
          </w:p>
        </w:tc>
        <w:tc>
          <w:tcPr>
            <w:tcW w:type="dxa" w:w="4153"/>
          </w:tcPr>
          <w:p>
            <w:pPr>
              <w:pStyle w:val="null3"/>
              <w:jc w:val="both"/>
            </w:pPr>
            <w:r>
              <w:rPr/>
              <w:t>自2019年1月1日起至本次投标截止日期内投标人（包含全资子公司及其分公司）完成的宣传服务类项目（项目日期以合同签订日期为准）的服务对象所提供的满意度评价情况。投标人每提份一份案例得1分，最高3分（注：同一业主多份案例视同为一份）（投标人须列表并提供该案例的采购合同文本复印件、到款凭证以及业主方提供的满意度相关证明文件复印件，全资子公司的还应提供股权证明材料，所有材料缺一不可，否则不得分。）</w:t>
            </w:r>
          </w:p>
        </w:tc>
      </w:tr>
      <w:tr>
        <w:tc>
          <w:tcPr>
            <w:tcW w:type="dxa" w:w="3322"/>
          </w:tcPr>
          <w:p>
            <w:pPr>
              <w:pStyle w:val="null3"/>
              <w:jc w:val="both"/>
            </w:pPr>
            <w:r>
              <w:rPr/>
              <w:t>售后服务方案</w:t>
            </w:r>
          </w:p>
        </w:tc>
        <w:tc>
          <w:tcPr>
            <w:tcW w:type="dxa" w:w="831"/>
          </w:tcPr>
          <w:p>
            <w:pPr>
              <w:pStyle w:val="null3"/>
              <w:jc w:val="right"/>
            </w:pPr>
            <w:r>
              <w:rPr/>
              <w:t>3.00</w:t>
            </w:r>
          </w:p>
        </w:tc>
        <w:tc>
          <w:tcPr>
            <w:tcW w:type="dxa" w:w="4153"/>
          </w:tcPr>
          <w:p>
            <w:pPr>
              <w:pStyle w:val="null3"/>
              <w:jc w:val="both"/>
            </w:pPr>
            <w:r>
              <w:rPr/>
              <w:t>根据投标人提供的售后服务方案，维护响应计划，包括具体的售后服务内容、故障响应时间、响应方式时间等方面，由评委进行评分：售后服务承诺、维护响应计划描述非常清晰合理完善的得3分；售后服务承诺、维护响应计划描述详实或部分内容可操作、具备一定实用性及技术性的得2分；售后服务承诺、维护响应计划描述不够清晰合理完善的得1分；其余不得分。</w:t>
            </w:r>
          </w:p>
        </w:tc>
      </w:tr>
      <w:tr>
        <w:tc>
          <w:tcPr>
            <w:tcW w:type="dxa" w:w="3322"/>
          </w:tcPr>
          <w:p>
            <w:pPr>
              <w:pStyle w:val="null3"/>
              <w:jc w:val="both"/>
            </w:pPr>
            <w:r>
              <w:rPr/>
              <w:t>服务响应能力</w:t>
            </w:r>
          </w:p>
        </w:tc>
        <w:tc>
          <w:tcPr>
            <w:tcW w:type="dxa" w:w="831"/>
          </w:tcPr>
          <w:p>
            <w:pPr>
              <w:pStyle w:val="null3"/>
              <w:jc w:val="right"/>
            </w:pPr>
            <w:r>
              <w:rPr/>
              <w:t>3.00</w:t>
            </w:r>
          </w:p>
        </w:tc>
        <w:tc>
          <w:tcPr>
            <w:tcW w:type="dxa" w:w="4153"/>
          </w:tcPr>
          <w:p>
            <w:pPr>
              <w:pStyle w:val="null3"/>
              <w:jc w:val="both"/>
            </w:pPr>
            <w:r>
              <w:rPr/>
              <w:t>为了保证项目服务的便捷性和稳定性，供应商需承诺中标后能提供福建省十地市服务机构网点地址信息的得3分，未提供承诺的不得分。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1"/>
        </w:rPr>
        <w:t>福建省禁毒公益广告宣传</w:t>
      </w:r>
      <w:r>
        <w:rPr>
          <w:rFonts w:ascii="宋体" w:hAnsi="宋体" w:cs="宋体" w:eastAsia="宋体"/>
          <w:sz w:val="21"/>
        </w:rPr>
        <w:t>“亮屏”工程，</w:t>
      </w:r>
      <w:r>
        <w:rPr>
          <w:rFonts w:ascii="宋体" w:hAnsi="宋体" w:cs="宋体" w:eastAsia="宋体"/>
          <w:sz w:val="21"/>
        </w:rPr>
        <w:t>充分利用</w:t>
      </w:r>
      <w:r>
        <w:rPr>
          <w:rFonts w:ascii="宋体" w:hAnsi="宋体" w:cs="宋体" w:eastAsia="宋体"/>
          <w:sz w:val="21"/>
        </w:rPr>
        <w:t>“6·3”虎门销烟纪念日和“6·26”国际禁毒日等重要时间节点，依托</w:t>
      </w:r>
      <w:r>
        <w:rPr>
          <w:rFonts w:ascii="宋体" w:hAnsi="宋体" w:cs="宋体" w:eastAsia="宋体"/>
          <w:sz w:val="21"/>
        </w:rPr>
        <w:t>有线数字电视开机画面、</w:t>
      </w:r>
      <w:r>
        <w:rPr>
          <w:rFonts w:ascii="宋体" w:hAnsi="宋体" w:cs="宋体" w:eastAsia="宋体"/>
          <w:sz w:val="21"/>
        </w:rPr>
        <w:t>人民日报宣传屏、</w:t>
      </w:r>
      <w:r>
        <w:rPr>
          <w:rFonts w:ascii="宋体" w:hAnsi="宋体" w:cs="宋体" w:eastAsia="宋体"/>
          <w:sz w:val="21"/>
        </w:rPr>
        <w:t>报纸</w:t>
      </w:r>
      <w:r>
        <w:rPr>
          <w:rFonts w:ascii="宋体" w:hAnsi="宋体" w:cs="宋体" w:eastAsia="宋体"/>
          <w:sz w:val="21"/>
        </w:rPr>
        <w:t>、户外大屏等多种宣传媒介，加大禁毒公益广告刊播力度。同时，组织《福建日报》</w:t>
      </w:r>
      <w:r>
        <w:rPr>
          <w:rFonts w:ascii="宋体" w:hAnsi="宋体" w:cs="宋体" w:eastAsia="宋体"/>
          <w:sz w:val="21"/>
        </w:rPr>
        <w:t>等省媒</w:t>
      </w:r>
      <w:r>
        <w:rPr>
          <w:rFonts w:ascii="宋体" w:hAnsi="宋体" w:cs="宋体" w:eastAsia="宋体"/>
          <w:sz w:val="21"/>
        </w:rPr>
        <w:t>开展基层禁毒工作采风行活动，开通禁毒专栏，全面展现我省禁毒工作成效。</w:t>
      </w:r>
      <w:r>
        <w:rPr>
          <w:rFonts w:ascii="宋体" w:hAnsi="宋体" w:cs="宋体" w:eastAsia="宋体"/>
          <w:sz w:val="21"/>
        </w:rPr>
        <w:t>本项目最高限价为</w:t>
      </w:r>
      <w:r>
        <w:rPr>
          <w:rFonts w:ascii="宋体" w:hAnsi="宋体" w:cs="宋体" w:eastAsia="宋体"/>
          <w:sz w:val="21"/>
        </w:rPr>
        <w:t>80</w:t>
      </w:r>
      <w:r>
        <w:rPr>
          <w:rFonts w:ascii="宋体" w:hAnsi="宋体" w:cs="宋体" w:eastAsia="宋体"/>
          <w:sz w:val="21"/>
        </w:rPr>
        <w:t>0000元，超过此报价为无效报价。</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sz w:val="21"/>
        </w:rPr>
        <w:t>★1 投放渠道：本次采购广告投放服务需在全省有线数字电视开机画面、人民日报电子阅报栏、省级纸媒及户外大屏四个投放渠道进行投放。</w:t>
      </w:r>
    </w:p>
    <w:p>
      <w:pPr>
        <w:pStyle w:val="null3"/>
        <w:ind w:firstLine="402"/>
        <w:jc w:val="both"/>
      </w:pPr>
      <w:r>
        <w:rPr>
          <w:rFonts w:ascii="宋体" w:hAnsi="宋体" w:cs="宋体" w:eastAsia="宋体"/>
          <w:sz w:val="21"/>
        </w:rPr>
        <w:t>2.福建有线数字电视开机画面广告</w:t>
      </w:r>
    </w:p>
    <w:p>
      <w:pPr>
        <w:pStyle w:val="null3"/>
        <w:ind w:firstLine="402"/>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要求覆盖全省十地市（含平潭）有线数字电视机顶盒终端用户。（评审</w:t>
      </w:r>
      <w:r>
        <w:rPr>
          <w:rFonts w:ascii="宋体" w:hAnsi="宋体" w:cs="宋体" w:eastAsia="宋体"/>
          <w:sz w:val="21"/>
        </w:rPr>
        <w:t>1</w:t>
      </w:r>
      <w:r>
        <w:rPr>
          <w:rFonts w:ascii="宋体" w:hAnsi="宋体" w:cs="宋体" w:eastAsia="宋体"/>
          <w:sz w:val="21"/>
        </w:rPr>
        <w:t>）</w:t>
      </w:r>
    </w:p>
    <w:p>
      <w:pPr>
        <w:pStyle w:val="null3"/>
        <w:ind w:firstLine="402"/>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“亮屏”工程公益开机画面广告投放周期为14天。（评审</w:t>
      </w:r>
      <w:r>
        <w:rPr>
          <w:rFonts w:ascii="宋体" w:hAnsi="宋体" w:cs="宋体" w:eastAsia="宋体"/>
          <w:sz w:val="21"/>
        </w:rPr>
        <w:t>2</w:t>
      </w:r>
      <w:r>
        <w:rPr>
          <w:rFonts w:ascii="宋体" w:hAnsi="宋体" w:cs="宋体" w:eastAsia="宋体"/>
          <w:sz w:val="21"/>
        </w:rPr>
        <w:t>）</w:t>
      </w:r>
    </w:p>
    <w:p>
      <w:pPr>
        <w:pStyle w:val="null3"/>
        <w:ind w:firstLine="402"/>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服务包括协调实际投播的日期、广告时长、段位、上下刊照等。（评审</w:t>
      </w:r>
      <w:r>
        <w:rPr>
          <w:rFonts w:ascii="宋体" w:hAnsi="宋体" w:cs="宋体" w:eastAsia="宋体"/>
          <w:sz w:val="21"/>
        </w:rPr>
        <w:t>3</w:t>
      </w:r>
      <w:r>
        <w:rPr>
          <w:rFonts w:ascii="宋体" w:hAnsi="宋体" w:cs="宋体" w:eastAsia="宋体"/>
          <w:sz w:val="21"/>
        </w:rPr>
        <w:t>）</w:t>
      </w:r>
    </w:p>
    <w:p>
      <w:pPr>
        <w:pStyle w:val="null3"/>
        <w:ind w:firstLine="402"/>
        <w:jc w:val="both"/>
      </w:pPr>
      <w:r>
        <w:rPr>
          <w:rFonts w:ascii="宋体" w:hAnsi="宋体" w:cs="宋体" w:eastAsia="宋体"/>
          <w:sz w:val="21"/>
        </w:rPr>
        <w:t>3.全省户外大屏宣传</w:t>
      </w:r>
    </w:p>
    <w:p>
      <w:pPr>
        <w:pStyle w:val="null3"/>
        <w:ind w:firstLine="402"/>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负责</w:t>
      </w:r>
      <w:r>
        <w:rPr>
          <w:rFonts w:ascii="宋体" w:hAnsi="宋体" w:cs="宋体" w:eastAsia="宋体"/>
          <w:sz w:val="21"/>
        </w:rPr>
        <w:t>“亮屏”工程在全省户外大屏广告投放，28天。（评审</w:t>
      </w:r>
      <w:r>
        <w:rPr>
          <w:rFonts w:ascii="宋体" w:hAnsi="宋体" w:cs="宋体" w:eastAsia="宋体"/>
          <w:sz w:val="21"/>
        </w:rPr>
        <w:t>4</w:t>
      </w:r>
      <w:r>
        <w:rPr>
          <w:rFonts w:ascii="宋体" w:hAnsi="宋体" w:cs="宋体" w:eastAsia="宋体"/>
          <w:sz w:val="21"/>
        </w:rPr>
        <w:t>）</w:t>
      </w:r>
    </w:p>
    <w:p>
      <w:pPr>
        <w:pStyle w:val="null3"/>
        <w:ind w:firstLine="402"/>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在全省户外大屏广告投放数量不少于</w:t>
      </w:r>
      <w:r>
        <w:rPr>
          <w:rFonts w:ascii="宋体" w:hAnsi="宋体" w:cs="宋体" w:eastAsia="宋体"/>
          <w:sz w:val="21"/>
        </w:rPr>
        <w:t>106面。（评审</w:t>
      </w:r>
      <w:r>
        <w:rPr>
          <w:rFonts w:ascii="宋体" w:hAnsi="宋体" w:cs="宋体" w:eastAsia="宋体"/>
          <w:sz w:val="21"/>
        </w:rPr>
        <w:t>5</w:t>
      </w:r>
      <w:r>
        <w:rPr>
          <w:rFonts w:ascii="宋体" w:hAnsi="宋体" w:cs="宋体" w:eastAsia="宋体"/>
          <w:sz w:val="21"/>
        </w:rPr>
        <w:t>）</w:t>
      </w:r>
    </w:p>
    <w:p>
      <w:pPr>
        <w:pStyle w:val="null3"/>
        <w:ind w:firstLine="402"/>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在全省户外大屏播放频次为</w:t>
      </w:r>
      <w:r>
        <w:rPr>
          <w:rFonts w:ascii="宋体" w:hAnsi="宋体" w:cs="宋体" w:eastAsia="宋体"/>
          <w:sz w:val="21"/>
        </w:rPr>
        <w:t>120次/天，时长15秒。（评审</w:t>
      </w:r>
      <w:r>
        <w:rPr>
          <w:rFonts w:ascii="宋体" w:hAnsi="宋体" w:cs="宋体" w:eastAsia="宋体"/>
          <w:sz w:val="21"/>
        </w:rPr>
        <w:t>6</w:t>
      </w:r>
      <w:r>
        <w:rPr>
          <w:rFonts w:ascii="宋体" w:hAnsi="宋体" w:cs="宋体" w:eastAsia="宋体"/>
          <w:sz w:val="21"/>
        </w:rPr>
        <w:t>）</w:t>
      </w:r>
    </w:p>
    <w:p>
      <w:pPr>
        <w:pStyle w:val="null3"/>
        <w:ind w:firstLine="402"/>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户外大屏的点位资源投放区域需分布在全省十地市，其中福州不少于</w:t>
      </w:r>
      <w:r>
        <w:rPr>
          <w:rFonts w:ascii="宋体" w:hAnsi="宋体" w:cs="宋体" w:eastAsia="宋体"/>
          <w:sz w:val="21"/>
        </w:rPr>
        <w:t>17%，漳州、三明分别不少于12%,宁德、南平分别不少于10%，厦门、莆田、龙岩分别不少于8%，泉州不少于7%，平潭不少于3%。（评审</w:t>
      </w:r>
      <w:r>
        <w:rPr>
          <w:rFonts w:ascii="宋体" w:hAnsi="宋体" w:cs="宋体" w:eastAsia="宋体"/>
          <w:sz w:val="21"/>
        </w:rPr>
        <w:t>7</w:t>
      </w:r>
      <w:r>
        <w:rPr>
          <w:rFonts w:ascii="宋体" w:hAnsi="宋体" w:cs="宋体" w:eastAsia="宋体"/>
          <w:sz w:val="21"/>
        </w:rPr>
        <w:t>）</w:t>
      </w:r>
    </w:p>
    <w:p>
      <w:pPr>
        <w:pStyle w:val="null3"/>
        <w:ind w:firstLine="402"/>
        <w:jc w:val="both"/>
      </w:pPr>
      <w:r>
        <w:rPr>
          <w:rFonts w:ascii="宋体" w:hAnsi="宋体" w:cs="宋体" w:eastAsia="宋体"/>
          <w:sz w:val="21"/>
        </w:rPr>
        <w:t>★</w:t>
      </w:r>
      <w:r>
        <w:rPr>
          <w:rFonts w:ascii="宋体" w:hAnsi="宋体" w:cs="宋体" w:eastAsia="宋体"/>
          <w:sz w:val="21"/>
        </w:rPr>
        <w:t>（</w:t>
      </w:r>
      <w:r>
        <w:rPr>
          <w:rFonts w:ascii="宋体" w:hAnsi="宋体" w:cs="宋体" w:eastAsia="宋体"/>
          <w:sz w:val="21"/>
        </w:rPr>
        <w:t>5</w:t>
      </w:r>
      <w:r>
        <w:rPr>
          <w:rFonts w:ascii="宋体" w:hAnsi="宋体" w:cs="宋体" w:eastAsia="宋体"/>
          <w:sz w:val="21"/>
        </w:rPr>
        <w:t>）</w:t>
      </w:r>
      <w:r>
        <w:rPr>
          <w:rFonts w:ascii="宋体" w:hAnsi="宋体" w:cs="宋体" w:eastAsia="宋体"/>
          <w:sz w:val="21"/>
        </w:rPr>
        <w:t>负责禁毒</w:t>
      </w:r>
      <w:r>
        <w:rPr>
          <w:rFonts w:ascii="宋体" w:hAnsi="宋体" w:cs="宋体" w:eastAsia="宋体"/>
          <w:sz w:val="21"/>
        </w:rPr>
        <w:t>“亮屏”工程在福州主城中心地段户外大屏广告投放不少于3面，点位应包含但不限于：</w:t>
      </w:r>
    </w:p>
    <w:p>
      <w:pPr>
        <w:pStyle w:val="null3"/>
        <w:ind w:firstLine="402"/>
        <w:jc w:val="both"/>
      </w:pPr>
      <w:r>
        <w:rPr>
          <w:rFonts w:ascii="宋体" w:hAnsi="宋体" w:cs="宋体" w:eastAsia="宋体"/>
          <w:sz w:val="21"/>
        </w:rPr>
        <w:t>东街口商圈：东街口屏面积不低于</w:t>
      </w:r>
      <w:r>
        <w:rPr>
          <w:rFonts w:ascii="宋体" w:hAnsi="宋体" w:cs="宋体" w:eastAsia="宋体"/>
          <w:sz w:val="21"/>
        </w:rPr>
        <w:t>600㎡</w:t>
      </w:r>
    </w:p>
    <w:p>
      <w:pPr>
        <w:pStyle w:val="null3"/>
        <w:ind w:firstLine="402"/>
        <w:jc w:val="both"/>
      </w:pPr>
      <w:r>
        <w:rPr>
          <w:rFonts w:ascii="宋体" w:hAnsi="宋体" w:cs="宋体" w:eastAsia="宋体"/>
          <w:sz w:val="21"/>
        </w:rPr>
        <w:t>宝龙广场商圈：宝龙广场面积不低于</w:t>
      </w:r>
      <w:r>
        <w:rPr>
          <w:rFonts w:ascii="宋体" w:hAnsi="宋体" w:cs="宋体" w:eastAsia="宋体"/>
          <w:sz w:val="21"/>
        </w:rPr>
        <w:t>280㎡</w:t>
      </w:r>
    </w:p>
    <w:p>
      <w:pPr>
        <w:pStyle w:val="null3"/>
        <w:ind w:firstLine="402"/>
        <w:jc w:val="both"/>
      </w:pPr>
      <w:r>
        <w:rPr>
          <w:rFonts w:ascii="宋体" w:hAnsi="宋体" w:cs="宋体" w:eastAsia="宋体"/>
          <w:sz w:val="21"/>
        </w:rPr>
        <w:t>五一北路国货西路商圈：面积不低于</w:t>
      </w:r>
      <w:r>
        <w:rPr>
          <w:rFonts w:ascii="宋体" w:hAnsi="宋体" w:cs="宋体" w:eastAsia="宋体"/>
          <w:sz w:val="21"/>
        </w:rPr>
        <w:t>230㎡</w:t>
      </w:r>
    </w:p>
    <w:p>
      <w:pPr>
        <w:pStyle w:val="null3"/>
        <w:ind w:firstLine="402"/>
        <w:jc w:val="both"/>
      </w:pPr>
      <w:r>
        <w:rPr>
          <w:rFonts w:ascii="宋体" w:hAnsi="宋体" w:cs="宋体" w:eastAsia="宋体"/>
          <w:sz w:val="21"/>
        </w:rPr>
        <w:t>4.</w:t>
      </w:r>
      <w:r>
        <w:rPr>
          <w:rFonts w:ascii="宋体" w:hAnsi="宋体" w:cs="宋体" w:eastAsia="宋体"/>
          <w:sz w:val="21"/>
        </w:rPr>
        <w:t>人民日报电子阅报栏</w:t>
      </w:r>
      <w:r>
        <w:rPr>
          <w:rFonts w:ascii="宋体" w:hAnsi="宋体" w:cs="宋体" w:eastAsia="宋体"/>
          <w:sz w:val="21"/>
        </w:rPr>
        <w:t>宣传</w:t>
      </w:r>
    </w:p>
    <w:p>
      <w:pPr>
        <w:pStyle w:val="null3"/>
        <w:ind w:firstLine="420"/>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在全省人民日报电子阅报栏宣传广告的投放，数量不少于</w:t>
      </w:r>
      <w:r>
        <w:rPr>
          <w:rFonts w:ascii="宋体" w:hAnsi="宋体" w:cs="宋体" w:eastAsia="宋体"/>
          <w:sz w:val="21"/>
        </w:rPr>
        <w:t>570面，7天。（评审</w:t>
      </w:r>
      <w:r>
        <w:rPr>
          <w:rFonts w:ascii="宋体" w:hAnsi="宋体" w:cs="宋体" w:eastAsia="宋体"/>
          <w:sz w:val="21"/>
        </w:rPr>
        <w:t>8</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在全省人民日报电子阅报栏宣传广告的播放频次：</w:t>
      </w:r>
      <w:r>
        <w:rPr>
          <w:rFonts w:ascii="宋体" w:hAnsi="宋体" w:cs="宋体" w:eastAsia="宋体"/>
          <w:sz w:val="21"/>
        </w:rPr>
        <w:t>90次/天，时长60秒。（评审</w:t>
      </w:r>
      <w:r>
        <w:rPr>
          <w:rFonts w:ascii="宋体" w:hAnsi="宋体" w:cs="宋体" w:eastAsia="宋体"/>
          <w:sz w:val="21"/>
        </w:rPr>
        <w:t>9</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人民日报电子阅报栏宣传点位资源需分布在全省十地市，其中福州区域不低于</w:t>
      </w:r>
      <w:r>
        <w:rPr>
          <w:rFonts w:ascii="宋体" w:hAnsi="宋体" w:cs="宋体" w:eastAsia="宋体"/>
          <w:sz w:val="21"/>
        </w:rPr>
        <w:t>53%，厦门区域不低于25%，泉州区域不低于10%,其它区域合计不低于9%。 （评审</w:t>
      </w:r>
      <w:r>
        <w:rPr>
          <w:rFonts w:ascii="宋体" w:hAnsi="宋体" w:cs="宋体" w:eastAsia="宋体"/>
          <w:sz w:val="21"/>
        </w:rPr>
        <w:t>10</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人民日报电子阅报栏宣传点位分布党政机关不少于</w:t>
      </w:r>
      <w:r>
        <w:rPr>
          <w:rFonts w:ascii="宋体" w:hAnsi="宋体" w:cs="宋体" w:eastAsia="宋体"/>
          <w:sz w:val="21"/>
        </w:rPr>
        <w:t>400面，高校不少于70面。（评审</w:t>
      </w:r>
      <w:r>
        <w:rPr>
          <w:rFonts w:ascii="宋体" w:hAnsi="宋体" w:cs="宋体" w:eastAsia="宋体"/>
          <w:sz w:val="21"/>
        </w:rPr>
        <w:t>11</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5</w:t>
      </w:r>
      <w:r>
        <w:rPr>
          <w:rFonts w:ascii="宋体" w:hAnsi="宋体" w:cs="宋体" w:eastAsia="宋体"/>
          <w:sz w:val="21"/>
        </w:rPr>
        <w:t>）</w:t>
      </w:r>
      <w:r>
        <w:rPr>
          <w:rFonts w:ascii="宋体" w:hAnsi="宋体" w:cs="宋体" w:eastAsia="宋体"/>
          <w:sz w:val="21"/>
        </w:rPr>
        <w:t>在全省人民日报电子阅报栏投放所使用的素材，应自行制作一条</w:t>
      </w:r>
      <w:r>
        <w:rPr>
          <w:rFonts w:ascii="宋体" w:hAnsi="宋体" w:cs="宋体" w:eastAsia="宋体"/>
          <w:sz w:val="21"/>
        </w:rPr>
        <w:t>60秒的宣传视频和海报。（评审</w:t>
      </w:r>
      <w:r>
        <w:rPr>
          <w:rFonts w:ascii="宋体" w:hAnsi="宋体" w:cs="宋体" w:eastAsia="宋体"/>
          <w:sz w:val="21"/>
        </w:rPr>
        <w:t>12</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在人民日报数字传播线上全渠道推广，包含但不限于人民数字联播网、人民日报数字传播微博、微信、抖音、视频号。（评审</w:t>
      </w:r>
      <w:r>
        <w:rPr>
          <w:rFonts w:ascii="宋体" w:hAnsi="宋体" w:cs="宋体" w:eastAsia="宋体"/>
          <w:sz w:val="21"/>
        </w:rPr>
        <w:t>13</w:t>
      </w:r>
      <w:r>
        <w:rPr>
          <w:rFonts w:ascii="宋体" w:hAnsi="宋体" w:cs="宋体" w:eastAsia="宋体"/>
          <w:sz w:val="21"/>
        </w:rPr>
        <w:t>）</w:t>
      </w:r>
    </w:p>
    <w:p>
      <w:pPr>
        <w:pStyle w:val="null3"/>
        <w:ind w:firstLine="420"/>
        <w:jc w:val="both"/>
      </w:pPr>
      <w:r>
        <w:rPr>
          <w:rFonts w:ascii="宋体" w:hAnsi="宋体" w:cs="宋体" w:eastAsia="宋体"/>
          <w:sz w:val="21"/>
        </w:rPr>
        <w:t>5.</w:t>
      </w:r>
      <w:r>
        <w:rPr>
          <w:rFonts w:ascii="宋体" w:hAnsi="宋体" w:cs="宋体" w:eastAsia="宋体"/>
          <w:sz w:val="21"/>
        </w:rPr>
        <w:t>省级纸媒</w:t>
      </w:r>
      <w:r>
        <w:rPr>
          <w:rFonts w:ascii="宋体" w:hAnsi="宋体" w:cs="宋体" w:eastAsia="宋体"/>
          <w:sz w:val="21"/>
        </w:rPr>
        <w:t>渠道宣传</w:t>
      </w:r>
    </w:p>
    <w:p>
      <w:pPr>
        <w:pStyle w:val="null3"/>
        <w:ind w:firstLine="420"/>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以</w:t>
      </w:r>
      <w:r>
        <w:rPr>
          <w:rFonts w:ascii="宋体" w:hAnsi="宋体" w:cs="宋体" w:eastAsia="宋体"/>
          <w:sz w:val="21"/>
        </w:rPr>
        <w:t>“2024 福建禁毒 ·媒体采风行 ”系列活动为重要要素，在《福建日报》刊登专栏宣传。（评审</w:t>
      </w:r>
      <w:r>
        <w:rPr>
          <w:rFonts w:ascii="宋体" w:hAnsi="宋体" w:cs="宋体" w:eastAsia="宋体"/>
          <w:sz w:val="21"/>
        </w:rPr>
        <w:t>14</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在《福建日报》专栏宣传版面位置及规格为：头版彩色导读，规格：</w:t>
      </w:r>
      <w:r>
        <w:rPr>
          <w:rFonts w:ascii="宋体" w:hAnsi="宋体" w:cs="宋体" w:eastAsia="宋体"/>
          <w:sz w:val="21"/>
        </w:rPr>
        <w:t>11*2；转7版彩色35*6或17*12（1/8版）规格宣传版面刊发信息，共四篇。（版面规格大小依据刊登当天排版，经采购人确认后方可做异形调整）（评审</w:t>
      </w:r>
      <w:r>
        <w:rPr>
          <w:rFonts w:ascii="宋体" w:hAnsi="宋体" w:cs="宋体" w:eastAsia="宋体"/>
          <w:sz w:val="21"/>
        </w:rPr>
        <w:t>15</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负责在福建日报新媒体渠道推广，包含但不限于《福建日报》、《新福建</w:t>
      </w:r>
      <w:r>
        <w:rPr>
          <w:rFonts w:ascii="宋体" w:hAnsi="宋体" w:cs="宋体" w:eastAsia="宋体"/>
          <w:sz w:val="21"/>
        </w:rPr>
        <w:t>APP》、福建日报微信公众号、福建日报抖音号。（评审</w:t>
      </w:r>
      <w:r>
        <w:rPr>
          <w:rFonts w:ascii="宋体" w:hAnsi="宋体" w:cs="宋体" w:eastAsia="宋体"/>
          <w:sz w:val="21"/>
        </w:rPr>
        <w:t>16</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在《新福建</w:t>
      </w:r>
      <w:r>
        <w:rPr>
          <w:rFonts w:ascii="宋体" w:hAnsi="宋体" w:cs="宋体" w:eastAsia="宋体"/>
          <w:sz w:val="21"/>
        </w:rPr>
        <w:t>APP》开设专题，配合福建省禁毒工作宣传。同时专栏位置应在首页第九条。（评审</w:t>
      </w:r>
      <w:r>
        <w:rPr>
          <w:rFonts w:ascii="宋体" w:hAnsi="宋体" w:cs="宋体" w:eastAsia="宋体"/>
          <w:sz w:val="21"/>
        </w:rPr>
        <w:t>17</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5</w:t>
      </w:r>
      <w:r>
        <w:rPr>
          <w:rFonts w:ascii="宋体" w:hAnsi="宋体" w:cs="宋体" w:eastAsia="宋体"/>
          <w:sz w:val="21"/>
        </w:rPr>
        <w:t>）</w:t>
      </w:r>
      <w:r>
        <w:rPr>
          <w:rFonts w:ascii="宋体" w:hAnsi="宋体" w:cs="宋体" w:eastAsia="宋体"/>
          <w:sz w:val="21"/>
        </w:rPr>
        <w:t>应负责组织不少于</w:t>
      </w:r>
      <w:r>
        <w:rPr>
          <w:rFonts w:ascii="宋体" w:hAnsi="宋体" w:cs="宋体" w:eastAsia="宋体"/>
          <w:sz w:val="21"/>
        </w:rPr>
        <w:t>6家央级、省级媒体或其他媒体，深入基层开展为期3天的禁毒采风行活动，工作内容包含拍摄、撰稿、发稿，并在相应媒体上刊发报道发稿不少于18篇。要求发稿形式为图文，参与媒体需从不同角度挖掘福建禁毒工作亮点不少于3篇。（食宿、交通费用自理）（评审</w:t>
      </w:r>
      <w:r>
        <w:rPr>
          <w:rFonts w:ascii="宋体" w:hAnsi="宋体" w:cs="宋体" w:eastAsia="宋体"/>
          <w:sz w:val="21"/>
        </w:rPr>
        <w:t>18</w:t>
      </w:r>
      <w:r>
        <w:rPr>
          <w:rFonts w:ascii="宋体" w:hAnsi="宋体" w:cs="宋体" w:eastAsia="宋体"/>
          <w:sz w:val="21"/>
        </w:rPr>
        <w:t>）</w:t>
      </w:r>
    </w:p>
    <w:p>
      <w:pPr>
        <w:pStyle w:val="null3"/>
        <w:ind w:firstLine="420"/>
        <w:jc w:val="both"/>
      </w:pPr>
      <w:r>
        <w:rPr>
          <w:rFonts w:ascii="宋体" w:hAnsi="宋体" w:cs="宋体" w:eastAsia="宋体"/>
          <w:sz w:val="21"/>
        </w:rPr>
        <w:t>6.其他</w:t>
      </w:r>
    </w:p>
    <w:p>
      <w:pPr>
        <w:pStyle w:val="null3"/>
        <w:ind w:firstLine="420"/>
        <w:jc w:val="both"/>
      </w:pPr>
      <w:r>
        <w:rPr>
          <w:rFonts w:ascii="宋体" w:hAnsi="宋体" w:cs="宋体" w:eastAsia="宋体"/>
          <w:sz w:val="21"/>
        </w:rPr>
        <w:t>（</w:t>
      </w:r>
      <w:r>
        <w:rPr>
          <w:rFonts w:ascii="宋体" w:hAnsi="宋体" w:cs="宋体" w:eastAsia="宋体"/>
          <w:sz w:val="21"/>
        </w:rPr>
        <w:t>1）中标方需按照采购人提供的素材和要求做好版面的设计、制作与发布。（评审1</w:t>
      </w:r>
      <w:r>
        <w:rPr>
          <w:rFonts w:ascii="宋体" w:hAnsi="宋体" w:cs="宋体" w:eastAsia="宋体"/>
          <w:sz w:val="21"/>
        </w:rPr>
        <w:t>9</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2）中标方须做好广告发布期间日常维护管理，确保广告投放内容清晰、完整。（评审</w:t>
      </w:r>
      <w:r>
        <w:rPr>
          <w:rFonts w:ascii="宋体" w:hAnsi="宋体" w:cs="宋体" w:eastAsia="宋体"/>
          <w:sz w:val="21"/>
        </w:rPr>
        <w:t>20</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3）本项目不组织统一的现场考察，投标人须自行了解符合上述要求投放的地点和条件。（评审2</w:t>
      </w:r>
      <w:r>
        <w:rPr>
          <w:rFonts w:ascii="宋体" w:hAnsi="宋体" w:cs="宋体" w:eastAsia="宋体"/>
          <w:sz w:val="21"/>
        </w:rPr>
        <w:t>1</w:t>
      </w:r>
      <w:r>
        <w:rPr>
          <w:rFonts w:ascii="宋体" w:hAnsi="宋体" w:cs="宋体" w:eastAsia="宋体"/>
          <w:sz w:val="21"/>
        </w:rPr>
        <w:t>）</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根据合同约定时间投放</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满足采购人技术和服务的要求，全部服务经验收合格交付</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1、验收时，采购人应根据单次服务事前确认的服务方案对中标人所提供的产品按照招标文件、投标文件和合同中的内容及要求进行验收，在采购人指定现场进行，验收过程所产生的一切费用由中标人承担。 验收材料要求：（1）电视开机广告：提供完整的验收报告，包含全省各地市播出期间每日刊播照片。 （2）户外大屏广告：提供完整的验收报告，包含福州中心主城区应提供上刊照，其它地区应提供后台监播内容数据。 （3）人民日报电子阅报栏：提供完整的验收报告，包含后台播放数据及部分刊播照片截取。 （4）省级媒体宣传：提供完整的验收报告，包含刊发位置的稿件截图、新媒体端应提供永久链接地址。 注：以上材料需加盖公章。 注：以上材料均需加盖公章。</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1、合同签订后，根据中标方提供的银行履约保函和合同总金额50%的正规发票后视为达到当期付款条件，达到付款条件起15日内，支付合同总金额的50.00%</w:t>
            </w:r>
          </w:p>
          <w:p>
            <w:pPr>
              <w:pStyle w:val="null3"/>
              <w:jc w:val="left"/>
            </w:pPr>
            <w:r>
              <w:rPr/>
              <w:t>2、经采购方全部验收通过后的30个工作日内，根据中标方提供合同总金额50%的正规发票后视为达到当期付款条件，，达到付款条件起15日内，支付合同总金额的50.00%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本采购包履约保证金为合同金额的5.0%</w:t>
            </w:r>
          </w:p>
          <w:p>
            <w:pPr>
              <w:pStyle w:val="null3"/>
              <w:jc w:val="left"/>
            </w:pPr>
            <w:r>
              <w:rPr/>
              <w:t>说明：中标人应在合同签订时向采购人提供成交金额5%银行保函形式的履约保证金（如因未提供合同导致银行不能开具银行保函的，由中标人提供履约保函承诺书，承诺其在合同签订后15个工作日内提供银行保函）。服务期结束且无未了事宜和售后服务问题后，经审核无误后在30个日历日内退还银行履约保函（原件）。若中标人未按要求及投标响应要求提供服务的，中标人须按合同规定支付违约金后，采购人才予以退还银行履约保函（原件）。</w:t>
            </w:r>
          </w:p>
        </w:tc>
      </w:tr>
    </w:tbl>
    <w:p>
      <w:pPr>
        <w:pStyle w:val="null3"/>
        <w:jc w:val="left"/>
      </w:pPr>
      <w:r>
        <w:rPr/>
        <w:t>其他商务要求</w:t>
      </w:r>
    </w:p>
    <w:p>
      <w:pPr>
        <w:pStyle w:val="null3"/>
        <w:ind w:firstLine="480"/>
        <w:jc w:val="left"/>
      </w:pPr>
      <w:r>
        <w:rPr>
          <w:rFonts w:ascii="宋体" w:hAnsi="宋体" w:cs="宋体" w:eastAsia="宋体"/>
          <w:b/>
          <w:sz w:val="21"/>
        </w:rPr>
        <w:t>8</w:t>
      </w:r>
      <w:r>
        <w:rPr>
          <w:rFonts w:ascii="宋体" w:hAnsi="宋体" w:cs="宋体" w:eastAsia="宋体"/>
          <w:b/>
          <w:sz w:val="21"/>
        </w:rPr>
        <w:t>.违约责任</w:t>
      </w:r>
    </w:p>
    <w:p>
      <w:pPr>
        <w:pStyle w:val="null3"/>
        <w:ind w:firstLine="420"/>
        <w:jc w:val="both"/>
      </w:pPr>
      <w:r>
        <w:rPr>
          <w:rFonts w:ascii="宋体" w:hAnsi="宋体" w:cs="宋体" w:eastAsia="宋体"/>
          <w:b/>
          <w:sz w:val="21"/>
        </w:rPr>
        <w:t>（</w:t>
      </w:r>
      <w:r>
        <w:rPr>
          <w:rFonts w:ascii="宋体" w:hAnsi="宋体" w:cs="宋体" w:eastAsia="宋体"/>
          <w:b/>
          <w:sz w:val="21"/>
        </w:rPr>
        <w:t>1）</w:t>
      </w:r>
      <w:r>
        <w:rPr>
          <w:rFonts w:ascii="宋体" w:hAnsi="宋体" w:cs="宋体" w:eastAsia="宋体"/>
          <w:b/>
          <w:sz w:val="21"/>
        </w:rPr>
        <w:t>中标方</w:t>
      </w:r>
      <w:r>
        <w:rPr>
          <w:rFonts w:ascii="宋体" w:hAnsi="宋体" w:cs="宋体" w:eastAsia="宋体"/>
          <w:b/>
          <w:sz w:val="21"/>
        </w:rPr>
        <w:t>逾期履行服务的，</w:t>
      </w:r>
      <w:r>
        <w:rPr>
          <w:rFonts w:ascii="宋体" w:hAnsi="宋体" w:cs="宋体" w:eastAsia="宋体"/>
          <w:b/>
          <w:sz w:val="21"/>
        </w:rPr>
        <w:t>中标方</w:t>
      </w:r>
      <w:r>
        <w:rPr>
          <w:rFonts w:ascii="宋体" w:hAnsi="宋体" w:cs="宋体" w:eastAsia="宋体"/>
          <w:b/>
          <w:sz w:val="21"/>
        </w:rPr>
        <w:t>应按</w:t>
      </w:r>
      <w:r>
        <w:rPr>
          <w:rFonts w:ascii="宋体" w:hAnsi="宋体" w:cs="宋体" w:eastAsia="宋体"/>
          <w:b/>
          <w:sz w:val="21"/>
        </w:rPr>
        <w:t>合同</w:t>
      </w:r>
      <w:r>
        <w:rPr>
          <w:rFonts w:ascii="宋体" w:hAnsi="宋体" w:cs="宋体" w:eastAsia="宋体"/>
          <w:b/>
          <w:sz w:val="21"/>
        </w:rPr>
        <w:t>总额每日</w:t>
      </w:r>
      <w:r>
        <w:rPr>
          <w:rFonts w:ascii="宋体" w:hAnsi="宋体" w:cs="宋体" w:eastAsia="宋体"/>
          <w:b/>
          <w:sz w:val="21"/>
        </w:rPr>
        <w:t>0.1％向甲方支付违约金，</w:t>
      </w:r>
      <w:r>
        <w:rPr>
          <w:rFonts w:ascii="宋体" w:hAnsi="宋体" w:cs="宋体" w:eastAsia="宋体"/>
          <w:b/>
          <w:sz w:val="21"/>
        </w:rPr>
        <w:t>可</w:t>
      </w:r>
      <w:r>
        <w:rPr>
          <w:rFonts w:ascii="宋体" w:hAnsi="宋体" w:cs="宋体" w:eastAsia="宋体"/>
          <w:b/>
          <w:sz w:val="21"/>
        </w:rPr>
        <w:t>由</w:t>
      </w:r>
      <w:r>
        <w:rPr>
          <w:rFonts w:ascii="宋体" w:hAnsi="宋体" w:cs="宋体" w:eastAsia="宋体"/>
          <w:b/>
          <w:sz w:val="21"/>
        </w:rPr>
        <w:t>采购人</w:t>
      </w:r>
      <w:r>
        <w:rPr>
          <w:rFonts w:ascii="宋体" w:hAnsi="宋体" w:cs="宋体" w:eastAsia="宋体"/>
          <w:b/>
          <w:sz w:val="21"/>
        </w:rPr>
        <w:t>从待付货款中扣除。</w:t>
      </w:r>
      <w:r>
        <w:rPr>
          <w:rFonts w:ascii="宋体" w:hAnsi="宋体" w:cs="宋体" w:eastAsia="宋体"/>
          <w:b/>
          <w:sz w:val="21"/>
        </w:rPr>
        <w:t>中标方</w:t>
      </w:r>
      <w:r>
        <w:rPr>
          <w:rFonts w:ascii="宋体" w:hAnsi="宋体" w:cs="宋体" w:eastAsia="宋体"/>
          <w:b/>
          <w:sz w:val="21"/>
        </w:rPr>
        <w:t>无正当理由逾期超过约定日期</w:t>
      </w:r>
      <w:r>
        <w:rPr>
          <w:rFonts w:ascii="宋体" w:hAnsi="宋体" w:cs="宋体" w:eastAsia="宋体"/>
          <w:b/>
          <w:sz w:val="21"/>
        </w:rPr>
        <w:t>【</w:t>
      </w:r>
      <w:r>
        <w:rPr>
          <w:rFonts w:ascii="宋体" w:hAnsi="宋体" w:cs="宋体" w:eastAsia="宋体"/>
          <w:b/>
          <w:sz w:val="21"/>
        </w:rPr>
        <w:t>10日】</w:t>
      </w:r>
      <w:r>
        <w:rPr>
          <w:rFonts w:ascii="宋体" w:hAnsi="宋体" w:cs="宋体" w:eastAsia="宋体"/>
          <w:b/>
          <w:sz w:val="21"/>
        </w:rPr>
        <w:t>仍不能交付的，视为</w:t>
      </w:r>
      <w:r>
        <w:rPr>
          <w:rFonts w:ascii="宋体" w:hAnsi="宋体" w:cs="宋体" w:eastAsia="宋体"/>
          <w:b/>
          <w:sz w:val="21"/>
        </w:rPr>
        <w:t>“</w:t>
      </w:r>
      <w:r>
        <w:rPr>
          <w:rFonts w:ascii="宋体" w:hAnsi="宋体" w:cs="宋体" w:eastAsia="宋体"/>
          <w:b/>
          <w:sz w:val="21"/>
        </w:rPr>
        <w:t>中标方</w:t>
      </w:r>
      <w:r>
        <w:rPr>
          <w:rFonts w:ascii="宋体" w:hAnsi="宋体" w:cs="宋体" w:eastAsia="宋体"/>
          <w:b/>
          <w:sz w:val="21"/>
        </w:rPr>
        <w:t>不按合同约定履约</w:t>
      </w:r>
      <w:r>
        <w:rPr>
          <w:rFonts w:ascii="宋体" w:hAnsi="宋体" w:cs="宋体" w:eastAsia="宋体"/>
          <w:b/>
          <w:sz w:val="21"/>
        </w:rPr>
        <w:t>”；</w:t>
      </w:r>
    </w:p>
    <w:p>
      <w:pPr>
        <w:pStyle w:val="null3"/>
        <w:ind w:firstLine="420"/>
        <w:jc w:val="both"/>
      </w:pPr>
      <w:r>
        <w:rPr>
          <w:rFonts w:ascii="宋体" w:hAnsi="宋体" w:cs="宋体" w:eastAsia="宋体"/>
          <w:b/>
          <w:sz w:val="21"/>
        </w:rPr>
        <w:t>（</w:t>
      </w:r>
      <w:r>
        <w:rPr>
          <w:rFonts w:ascii="宋体" w:hAnsi="宋体" w:cs="宋体" w:eastAsia="宋体"/>
          <w:b/>
          <w:sz w:val="21"/>
        </w:rPr>
        <w:t>2）</w:t>
      </w:r>
      <w:r>
        <w:rPr>
          <w:rFonts w:ascii="宋体" w:hAnsi="宋体" w:cs="宋体" w:eastAsia="宋体"/>
          <w:b/>
          <w:sz w:val="21"/>
        </w:rPr>
        <w:t>中标方</w:t>
      </w:r>
      <w:r>
        <w:rPr>
          <w:rFonts w:ascii="宋体" w:hAnsi="宋体" w:cs="宋体" w:eastAsia="宋体"/>
          <w:b/>
          <w:sz w:val="21"/>
        </w:rPr>
        <w:t>所履行的服务不符合合同规定及《采购文件》规定标准的，</w:t>
      </w:r>
      <w:r>
        <w:rPr>
          <w:rFonts w:ascii="宋体" w:hAnsi="宋体" w:cs="宋体" w:eastAsia="宋体"/>
          <w:b/>
          <w:sz w:val="21"/>
        </w:rPr>
        <w:t>采购人</w:t>
      </w:r>
      <w:r>
        <w:rPr>
          <w:rFonts w:ascii="宋体" w:hAnsi="宋体" w:cs="宋体" w:eastAsia="宋体"/>
          <w:b/>
          <w:sz w:val="21"/>
        </w:rPr>
        <w:t>有权拒绝，</w:t>
      </w:r>
      <w:r>
        <w:rPr>
          <w:rFonts w:ascii="宋体" w:hAnsi="宋体" w:cs="宋体" w:eastAsia="宋体"/>
          <w:b/>
          <w:sz w:val="21"/>
        </w:rPr>
        <w:t>中标方</w:t>
      </w:r>
      <w:r>
        <w:rPr>
          <w:rFonts w:ascii="宋体" w:hAnsi="宋体" w:cs="宋体" w:eastAsia="宋体"/>
          <w:b/>
          <w:sz w:val="21"/>
        </w:rPr>
        <w:t>愿意整改但逾期履行的，按乙方逾期履行处理。</w:t>
      </w:r>
      <w:r>
        <w:rPr>
          <w:rFonts w:ascii="宋体" w:hAnsi="宋体" w:cs="宋体" w:eastAsia="宋体"/>
          <w:b/>
          <w:sz w:val="21"/>
        </w:rPr>
        <w:t>中标方</w:t>
      </w:r>
      <w:r>
        <w:rPr>
          <w:rFonts w:ascii="宋体" w:hAnsi="宋体" w:cs="宋体" w:eastAsia="宋体"/>
          <w:b/>
          <w:sz w:val="21"/>
        </w:rPr>
        <w:t>拒绝整改的，视为</w:t>
      </w:r>
      <w:r>
        <w:rPr>
          <w:rFonts w:ascii="宋体" w:hAnsi="宋体" w:cs="宋体" w:eastAsia="宋体"/>
          <w:b/>
          <w:sz w:val="21"/>
        </w:rPr>
        <w:t>“</w:t>
      </w:r>
      <w:r>
        <w:rPr>
          <w:rFonts w:ascii="宋体" w:hAnsi="宋体" w:cs="宋体" w:eastAsia="宋体"/>
          <w:b/>
          <w:sz w:val="21"/>
        </w:rPr>
        <w:t>中标方</w:t>
      </w:r>
      <w:r>
        <w:rPr>
          <w:rFonts w:ascii="宋体" w:hAnsi="宋体" w:cs="宋体" w:eastAsia="宋体"/>
          <w:b/>
          <w:sz w:val="21"/>
        </w:rPr>
        <w:t>不按合同约定履约</w:t>
      </w:r>
      <w:r>
        <w:rPr>
          <w:rFonts w:ascii="宋体" w:hAnsi="宋体" w:cs="宋体" w:eastAsia="宋体"/>
          <w:b/>
          <w:sz w:val="21"/>
        </w:rPr>
        <w:t>”</w:t>
      </w:r>
    </w:p>
    <w:p>
      <w:pPr>
        <w:pStyle w:val="null3"/>
        <w:ind w:firstLine="420"/>
        <w:jc w:val="both"/>
      </w:pPr>
      <w:r>
        <w:rPr>
          <w:rFonts w:ascii="宋体" w:hAnsi="宋体" w:cs="宋体" w:eastAsia="宋体"/>
          <w:b/>
          <w:sz w:val="21"/>
        </w:rPr>
        <w:t>（</w:t>
      </w:r>
      <w:r>
        <w:rPr>
          <w:rFonts w:ascii="宋体" w:hAnsi="宋体" w:cs="宋体" w:eastAsia="宋体"/>
          <w:b/>
          <w:sz w:val="21"/>
        </w:rPr>
        <w:t>3）</w:t>
      </w:r>
      <w:r>
        <w:rPr>
          <w:rFonts w:ascii="宋体" w:hAnsi="宋体" w:cs="宋体" w:eastAsia="宋体"/>
          <w:b/>
          <w:sz w:val="21"/>
        </w:rPr>
        <w:t>中标方</w:t>
      </w:r>
      <w:r>
        <w:rPr>
          <w:rFonts w:ascii="宋体" w:hAnsi="宋体" w:cs="宋体" w:eastAsia="宋体"/>
          <w:b/>
          <w:sz w:val="21"/>
        </w:rPr>
        <w:t>不按合同约定履约的，</w:t>
      </w:r>
      <w:r>
        <w:rPr>
          <w:rFonts w:ascii="宋体" w:hAnsi="宋体" w:cs="宋体" w:eastAsia="宋体"/>
          <w:b/>
          <w:sz w:val="21"/>
        </w:rPr>
        <w:t>采购人</w:t>
      </w:r>
      <w:r>
        <w:rPr>
          <w:rFonts w:ascii="宋体" w:hAnsi="宋体" w:cs="宋体" w:eastAsia="宋体"/>
          <w:b/>
          <w:sz w:val="21"/>
        </w:rPr>
        <w:t>可以解除采购合同，并对</w:t>
      </w:r>
      <w:r>
        <w:rPr>
          <w:rFonts w:ascii="宋体" w:hAnsi="宋体" w:cs="宋体" w:eastAsia="宋体"/>
          <w:b/>
          <w:sz w:val="21"/>
        </w:rPr>
        <w:t>中标方</w:t>
      </w:r>
      <w:r>
        <w:rPr>
          <w:rFonts w:ascii="宋体" w:hAnsi="宋体" w:cs="宋体" w:eastAsia="宋体"/>
          <w:b/>
          <w:sz w:val="21"/>
        </w:rPr>
        <w:t>已缴纳的履约保证金作</w:t>
      </w:r>
      <w:r>
        <w:rPr>
          <w:rFonts w:ascii="宋体" w:hAnsi="宋体" w:cs="宋体" w:eastAsia="宋体"/>
          <w:b/>
          <w:sz w:val="21"/>
        </w:rPr>
        <w:t>“不予退还”处理。同时，</w:t>
      </w:r>
      <w:r>
        <w:rPr>
          <w:rFonts w:ascii="宋体" w:hAnsi="宋体" w:cs="宋体" w:eastAsia="宋体"/>
          <w:b/>
          <w:sz w:val="21"/>
        </w:rPr>
        <w:t>中标方</w:t>
      </w:r>
      <w:r>
        <w:rPr>
          <w:rFonts w:ascii="宋体" w:hAnsi="宋体" w:cs="宋体" w:eastAsia="宋体"/>
          <w:b/>
          <w:sz w:val="21"/>
        </w:rPr>
        <w:t>向</w:t>
      </w:r>
      <w:r>
        <w:rPr>
          <w:rFonts w:ascii="宋体" w:hAnsi="宋体" w:cs="宋体" w:eastAsia="宋体"/>
          <w:b/>
          <w:sz w:val="21"/>
        </w:rPr>
        <w:t>采购人</w:t>
      </w:r>
      <w:r>
        <w:rPr>
          <w:rFonts w:ascii="宋体" w:hAnsi="宋体" w:cs="宋体" w:eastAsia="宋体"/>
          <w:b/>
          <w:sz w:val="21"/>
        </w:rPr>
        <w:t>支付</w:t>
      </w:r>
      <w:r>
        <w:rPr>
          <w:rFonts w:ascii="宋体" w:hAnsi="宋体" w:cs="宋体" w:eastAsia="宋体"/>
          <w:b/>
          <w:sz w:val="21"/>
        </w:rPr>
        <w:t>合同</w:t>
      </w:r>
      <w:r>
        <w:rPr>
          <w:rFonts w:ascii="宋体" w:hAnsi="宋体" w:cs="宋体" w:eastAsia="宋体"/>
          <w:b/>
          <w:sz w:val="21"/>
        </w:rPr>
        <w:t>总额</w:t>
      </w:r>
      <w:r>
        <w:rPr>
          <w:rFonts w:ascii="宋体" w:hAnsi="宋体" w:cs="宋体" w:eastAsia="宋体"/>
          <w:b/>
          <w:sz w:val="21"/>
        </w:rPr>
        <w:t>【</w:t>
      </w:r>
      <w:r>
        <w:rPr>
          <w:rFonts w:ascii="宋体" w:hAnsi="宋体" w:cs="宋体" w:eastAsia="宋体"/>
          <w:b/>
          <w:sz w:val="21"/>
        </w:rPr>
        <w:t>10%】的</w:t>
      </w:r>
      <w:r>
        <w:rPr>
          <w:rFonts w:ascii="宋体" w:hAnsi="宋体" w:cs="宋体" w:eastAsia="宋体"/>
          <w:b/>
          <w:sz w:val="21"/>
        </w:rPr>
        <w:t>违约金</w:t>
      </w:r>
      <w:r>
        <w:rPr>
          <w:rFonts w:ascii="宋体" w:hAnsi="宋体" w:cs="宋体" w:eastAsia="宋体"/>
          <w:b/>
          <w:sz w:val="21"/>
        </w:rPr>
        <w:t>。</w:t>
      </w:r>
    </w:p>
    <w:p>
      <w:pPr>
        <w:pStyle w:val="null3"/>
        <w:ind w:firstLine="420"/>
        <w:jc w:val="both"/>
      </w:pPr>
      <w:r>
        <w:rPr>
          <w:rFonts w:ascii="宋体" w:hAnsi="宋体" w:cs="宋体" w:eastAsia="宋体"/>
          <w:b/>
          <w:sz w:val="21"/>
        </w:rPr>
        <w:t>（</w:t>
      </w:r>
      <w:r>
        <w:rPr>
          <w:rFonts w:ascii="宋体" w:hAnsi="宋体" w:cs="宋体" w:eastAsia="宋体"/>
          <w:b/>
          <w:sz w:val="21"/>
        </w:rPr>
        <w:t>4）</w:t>
      </w:r>
      <w:r>
        <w:rPr>
          <w:rFonts w:ascii="宋体" w:hAnsi="宋体" w:cs="宋体" w:eastAsia="宋体"/>
          <w:b/>
          <w:sz w:val="21"/>
        </w:rPr>
        <w:t>中标方</w:t>
      </w:r>
      <w:r>
        <w:rPr>
          <w:rFonts w:ascii="宋体" w:hAnsi="宋体" w:cs="宋体" w:eastAsia="宋体"/>
          <w:b/>
          <w:sz w:val="21"/>
        </w:rPr>
        <w:t>实施</w:t>
      </w:r>
      <w:r>
        <w:rPr>
          <w:rFonts w:ascii="宋体" w:hAnsi="宋体" w:cs="宋体" w:eastAsia="宋体"/>
          <w:b/>
          <w:sz w:val="21"/>
        </w:rPr>
        <w:t>违约行为</w:t>
      </w:r>
      <w:r>
        <w:rPr>
          <w:rFonts w:ascii="宋体" w:hAnsi="宋体" w:cs="宋体" w:eastAsia="宋体"/>
          <w:b/>
          <w:sz w:val="21"/>
        </w:rPr>
        <w:t>的</w:t>
      </w:r>
      <w:r>
        <w:rPr>
          <w:rFonts w:ascii="宋体" w:hAnsi="宋体" w:cs="宋体" w:eastAsia="宋体"/>
          <w:b/>
          <w:sz w:val="21"/>
        </w:rPr>
        <w:t>，</w:t>
      </w:r>
      <w:r>
        <w:rPr>
          <w:rFonts w:ascii="宋体" w:hAnsi="宋体" w:cs="宋体" w:eastAsia="宋体"/>
          <w:b/>
          <w:sz w:val="21"/>
        </w:rPr>
        <w:t>除</w:t>
      </w:r>
      <w:r>
        <w:rPr>
          <w:rFonts w:ascii="宋体" w:hAnsi="宋体" w:cs="宋体" w:eastAsia="宋体"/>
          <w:b/>
          <w:sz w:val="21"/>
        </w:rPr>
        <w:t>应当向</w:t>
      </w:r>
      <w:r>
        <w:rPr>
          <w:rFonts w:ascii="宋体" w:hAnsi="宋体" w:cs="宋体" w:eastAsia="宋体"/>
          <w:b/>
          <w:sz w:val="21"/>
        </w:rPr>
        <w:t>采购人</w:t>
      </w:r>
      <w:r>
        <w:rPr>
          <w:rFonts w:ascii="宋体" w:hAnsi="宋体" w:cs="宋体" w:eastAsia="宋体"/>
          <w:b/>
          <w:sz w:val="21"/>
        </w:rPr>
        <w:t>支付违约金</w:t>
      </w:r>
      <w:r>
        <w:rPr>
          <w:rFonts w:ascii="宋体" w:hAnsi="宋体" w:cs="宋体" w:eastAsia="宋体"/>
          <w:b/>
          <w:sz w:val="21"/>
        </w:rPr>
        <w:t>、</w:t>
      </w:r>
      <w:r>
        <w:rPr>
          <w:rFonts w:ascii="宋体" w:hAnsi="宋体" w:cs="宋体" w:eastAsia="宋体"/>
          <w:b/>
          <w:sz w:val="21"/>
        </w:rPr>
        <w:t>损失</w:t>
      </w:r>
      <w:r>
        <w:rPr>
          <w:rFonts w:ascii="宋体" w:hAnsi="宋体" w:cs="宋体" w:eastAsia="宋体"/>
          <w:b/>
          <w:sz w:val="21"/>
        </w:rPr>
        <w:t>赔偿金外，还需承担采购人为实现债权而支付的全部合理费用，包括但不限于诉讼费</w:t>
      </w:r>
      <w:r>
        <w:rPr>
          <w:rFonts w:ascii="宋体" w:hAnsi="宋体" w:cs="宋体" w:eastAsia="宋体"/>
          <w:b/>
          <w:sz w:val="21"/>
        </w:rPr>
        <w:t>/仲裁费、律师费、财产保全费等。</w:t>
      </w:r>
    </w:p>
    <w:p>
      <w:pPr>
        <w:pStyle w:val="null3"/>
        <w:ind w:firstLine="420"/>
        <w:jc w:val="both"/>
      </w:pPr>
      <w:r>
        <w:rPr>
          <w:rFonts w:ascii="宋体" w:hAnsi="宋体" w:cs="宋体" w:eastAsia="宋体"/>
          <w:b/>
          <w:sz w:val="21"/>
        </w:rPr>
        <w:t>9.</w:t>
      </w:r>
      <w:r>
        <w:rPr>
          <w:rFonts w:ascii="宋体" w:hAnsi="宋体" w:cs="宋体" w:eastAsia="宋体"/>
          <w:b/>
          <w:sz w:val="21"/>
        </w:rPr>
        <w:t>知识产权</w:t>
      </w:r>
    </w:p>
    <w:p>
      <w:pPr>
        <w:pStyle w:val="null3"/>
        <w:ind w:firstLine="420"/>
        <w:jc w:val="both"/>
      </w:pPr>
      <w:r>
        <w:rPr>
          <w:rFonts w:ascii="宋体" w:hAnsi="宋体" w:cs="宋体" w:eastAsia="宋体"/>
          <w:b/>
          <w:sz w:val="21"/>
        </w:rPr>
        <w:t>（</w:t>
      </w:r>
      <w:r>
        <w:rPr>
          <w:rFonts w:ascii="宋体" w:hAnsi="宋体" w:cs="宋体" w:eastAsia="宋体"/>
          <w:b/>
          <w:sz w:val="21"/>
        </w:rPr>
        <w:t>1）中标方</w:t>
      </w:r>
      <w:r>
        <w:rPr>
          <w:rFonts w:ascii="宋体" w:hAnsi="宋体" w:cs="宋体" w:eastAsia="宋体"/>
          <w:b/>
          <w:sz w:val="21"/>
        </w:rPr>
        <w:t>提供的采购标的应符合国家知识产权法律、法规的规定且非假冒伪劣品；</w:t>
      </w:r>
      <w:r>
        <w:rPr>
          <w:rFonts w:ascii="宋体" w:hAnsi="宋体" w:cs="宋体" w:eastAsia="宋体"/>
          <w:b/>
          <w:sz w:val="21"/>
        </w:rPr>
        <w:t>中标方</w:t>
      </w:r>
      <w:r>
        <w:rPr>
          <w:rFonts w:ascii="宋体" w:hAnsi="宋体" w:cs="宋体" w:eastAsia="宋体"/>
          <w:b/>
          <w:sz w:val="21"/>
        </w:rPr>
        <w:t>还应保证</w:t>
      </w:r>
      <w:r>
        <w:rPr>
          <w:rFonts w:ascii="宋体" w:hAnsi="宋体" w:cs="宋体" w:eastAsia="宋体"/>
          <w:b/>
          <w:sz w:val="21"/>
        </w:rPr>
        <w:t>采购人</w:t>
      </w:r>
      <w:r>
        <w:rPr>
          <w:rFonts w:ascii="宋体" w:hAnsi="宋体" w:cs="宋体" w:eastAsia="宋体"/>
          <w:b/>
          <w:sz w:val="21"/>
        </w:rPr>
        <w:t>不受到第三方关于侵犯知识产权及专利权、商标权或工业设计权等知识产权方面的指控，任何第三方如果提出此方面指控均与</w:t>
      </w:r>
      <w:r>
        <w:rPr>
          <w:rFonts w:ascii="宋体" w:hAnsi="宋体" w:cs="宋体" w:eastAsia="宋体"/>
          <w:b/>
          <w:sz w:val="21"/>
        </w:rPr>
        <w:t>采购人</w:t>
      </w:r>
      <w:r>
        <w:rPr>
          <w:rFonts w:ascii="宋体" w:hAnsi="宋体" w:cs="宋体" w:eastAsia="宋体"/>
          <w:b/>
          <w:sz w:val="21"/>
        </w:rPr>
        <w:t>无关，</w:t>
      </w:r>
      <w:r>
        <w:rPr>
          <w:rFonts w:ascii="宋体" w:hAnsi="宋体" w:cs="宋体" w:eastAsia="宋体"/>
          <w:b/>
          <w:sz w:val="21"/>
        </w:rPr>
        <w:t>中标方</w:t>
      </w:r>
      <w:r>
        <w:rPr>
          <w:rFonts w:ascii="宋体" w:hAnsi="宋体" w:cs="宋体" w:eastAsia="宋体"/>
          <w:b/>
          <w:sz w:val="21"/>
        </w:rPr>
        <w:t>应与第三方交涉，并承担可能发生的一切法律责任、费用和后果；若</w:t>
      </w:r>
      <w:r>
        <w:rPr>
          <w:rFonts w:ascii="宋体" w:hAnsi="宋体" w:cs="宋体" w:eastAsia="宋体"/>
          <w:b/>
          <w:sz w:val="21"/>
        </w:rPr>
        <w:t>采购人</w:t>
      </w:r>
      <w:r>
        <w:rPr>
          <w:rFonts w:ascii="宋体" w:hAnsi="宋体" w:cs="宋体" w:eastAsia="宋体"/>
          <w:b/>
          <w:sz w:val="21"/>
        </w:rPr>
        <w:t>因此而遭致损失，则</w:t>
      </w:r>
      <w:r>
        <w:rPr>
          <w:rFonts w:ascii="宋体" w:hAnsi="宋体" w:cs="宋体" w:eastAsia="宋体"/>
          <w:b/>
          <w:sz w:val="21"/>
        </w:rPr>
        <w:t>中标方</w:t>
      </w:r>
      <w:r>
        <w:rPr>
          <w:rFonts w:ascii="宋体" w:hAnsi="宋体" w:cs="宋体" w:eastAsia="宋体"/>
          <w:b/>
          <w:sz w:val="21"/>
        </w:rPr>
        <w:t>应赔偿该损失（含资金占用损失）。</w:t>
      </w:r>
    </w:p>
    <w:p>
      <w:pPr>
        <w:pStyle w:val="null3"/>
        <w:ind w:firstLine="420"/>
        <w:jc w:val="both"/>
      </w:pPr>
      <w:r>
        <w:rPr>
          <w:rFonts w:ascii="宋体" w:hAnsi="宋体" w:cs="宋体" w:eastAsia="宋体"/>
          <w:b/>
          <w:sz w:val="21"/>
        </w:rPr>
        <w:t>（</w:t>
      </w:r>
      <w:r>
        <w:rPr>
          <w:rFonts w:ascii="宋体" w:hAnsi="宋体" w:cs="宋体" w:eastAsia="宋体"/>
          <w:b/>
          <w:sz w:val="21"/>
        </w:rPr>
        <w:t>2）</w:t>
      </w:r>
      <w:r>
        <w:rPr>
          <w:rFonts w:ascii="宋体" w:hAnsi="宋体" w:cs="宋体" w:eastAsia="宋体"/>
          <w:b/>
          <w:sz w:val="21"/>
        </w:rPr>
        <w:t>若</w:t>
      </w:r>
      <w:r>
        <w:rPr>
          <w:rFonts w:ascii="宋体" w:hAnsi="宋体" w:cs="宋体" w:eastAsia="宋体"/>
          <w:b/>
          <w:sz w:val="21"/>
        </w:rPr>
        <w:t>中标方</w:t>
      </w:r>
      <w:r>
        <w:rPr>
          <w:rFonts w:ascii="宋体" w:hAnsi="宋体" w:cs="宋体" w:eastAsia="宋体"/>
          <w:b/>
          <w:sz w:val="21"/>
        </w:rPr>
        <w:t>提供的采购标的不符合国家知识产权法律、法规的规定或被有关主管机关认定为假冒伪劣品</w:t>
      </w:r>
      <w:r>
        <w:rPr>
          <w:rFonts w:ascii="宋体" w:hAnsi="宋体" w:cs="宋体" w:eastAsia="宋体"/>
          <w:b/>
          <w:sz w:val="21"/>
        </w:rPr>
        <w:t>等</w:t>
      </w:r>
      <w:r>
        <w:rPr>
          <w:rFonts w:ascii="宋体" w:hAnsi="宋体" w:cs="宋体" w:eastAsia="宋体"/>
          <w:b/>
          <w:sz w:val="21"/>
        </w:rPr>
        <w:t>，则</w:t>
      </w:r>
      <w:r>
        <w:rPr>
          <w:rFonts w:ascii="宋体" w:hAnsi="宋体" w:cs="宋体" w:eastAsia="宋体"/>
          <w:b/>
          <w:sz w:val="21"/>
        </w:rPr>
        <w:t>中标方</w:t>
      </w:r>
      <w:r>
        <w:rPr>
          <w:rFonts w:ascii="宋体" w:hAnsi="宋体" w:cs="宋体" w:eastAsia="宋体"/>
          <w:b/>
          <w:sz w:val="21"/>
        </w:rPr>
        <w:t>中标资格将被取消；</w:t>
      </w:r>
      <w:r>
        <w:rPr>
          <w:rFonts w:ascii="宋体" w:hAnsi="宋体" w:cs="宋体" w:eastAsia="宋体"/>
          <w:b/>
          <w:sz w:val="21"/>
        </w:rPr>
        <w:t>采购人</w:t>
      </w:r>
      <w:r>
        <w:rPr>
          <w:rFonts w:ascii="宋体" w:hAnsi="宋体" w:cs="宋体" w:eastAsia="宋体"/>
          <w:b/>
          <w:sz w:val="21"/>
        </w:rPr>
        <w:t>还将按照有关法律、法规和规章的规定进行处理。</w:t>
      </w:r>
    </w:p>
    <w:p>
      <w:pPr>
        <w:pStyle w:val="null3"/>
        <w:ind w:firstLine="420"/>
        <w:jc w:val="both"/>
      </w:pPr>
      <w:r>
        <w:rPr>
          <w:rFonts w:ascii="宋体" w:hAnsi="宋体" w:cs="宋体" w:eastAsia="宋体"/>
          <w:b/>
          <w:sz w:val="21"/>
        </w:rPr>
        <w:t>10</w:t>
      </w:r>
      <w:r>
        <w:rPr>
          <w:rFonts w:ascii="宋体" w:hAnsi="宋体" w:cs="宋体" w:eastAsia="宋体"/>
          <w:b/>
          <w:sz w:val="21"/>
        </w:rPr>
        <w:t>．解决争议的方法</w:t>
      </w:r>
    </w:p>
    <w:p>
      <w:pPr>
        <w:pStyle w:val="null3"/>
        <w:ind w:firstLine="420"/>
        <w:jc w:val="both"/>
      </w:pPr>
      <w:r>
        <w:rPr>
          <w:rFonts w:ascii="宋体" w:hAnsi="宋体" w:cs="宋体" w:eastAsia="宋体"/>
          <w:b/>
          <w:sz w:val="21"/>
        </w:rPr>
        <w:t>(1)由采购人及中标方协商解决。</w:t>
      </w:r>
    </w:p>
    <w:p>
      <w:pPr>
        <w:pStyle w:val="null3"/>
        <w:ind w:firstLine="420"/>
        <w:jc w:val="both"/>
      </w:pPr>
      <w:r>
        <w:rPr>
          <w:rFonts w:ascii="宋体" w:hAnsi="宋体" w:cs="宋体" w:eastAsia="宋体"/>
          <w:b/>
          <w:sz w:val="21"/>
        </w:rPr>
        <w:t>(2) 采购人及中标方因履行本合同而发生的争议，应协商、调解解决。协商、调解不成的， 确定按以下第 2 种方式处理:</w:t>
      </w:r>
    </w:p>
    <w:p>
      <w:pPr>
        <w:pStyle w:val="null3"/>
        <w:ind w:firstLine="420"/>
        <w:jc w:val="both"/>
      </w:pPr>
      <w:r>
        <w:rPr>
          <w:rFonts w:ascii="宋体" w:hAnsi="宋体" w:cs="宋体" w:eastAsia="宋体"/>
          <w:b/>
          <w:sz w:val="21"/>
        </w:rPr>
        <w:t>1)提交福州仲裁委员会仲裁。</w:t>
      </w:r>
    </w:p>
    <w:p>
      <w:pPr>
        <w:pStyle w:val="null3"/>
        <w:ind w:firstLine="420"/>
        <w:jc w:val="both"/>
      </w:pPr>
      <w:r>
        <w:rPr>
          <w:rFonts w:ascii="宋体" w:hAnsi="宋体" w:cs="宋体" w:eastAsia="宋体"/>
          <w:b/>
          <w:sz w:val="21"/>
        </w:rPr>
        <w:t>2)依法向采购人所在地人民法院起诉。</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保密要求：中标人应当严格遵照相关保密规定开展工作，并签订《单位安全承诺书》、《个人保密承诺书》。未经采购人同意，中标人不得向第三方提供任何相关数据信息。中标人违反相关保密规定的，采购人有权在经济和法律处罚方面对中标人做出违规惩罚措施。</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