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DA92EAB">
      <w:pPr>
        <w:jc w:val="center"/>
        <w:rPr>
          <w:rFonts w:cs="宋体" w:asciiTheme="minorEastAsia" w:hAnsiTheme="minorEastAsia" w:eastAsiaTheme="minorEastAsia"/>
          <w:b/>
          <w:color w:val="auto"/>
          <w:sz w:val="96"/>
          <w:szCs w:val="18"/>
          <w:highlight w:val="none"/>
        </w:rPr>
      </w:pPr>
    </w:p>
    <w:p w14:paraId="00EB8805">
      <w:pPr>
        <w:pStyle w:val="23"/>
        <w:spacing w:line="240" w:lineRule="auto"/>
        <w:ind w:firstLine="0"/>
        <w:jc w:val="center"/>
        <w:rPr>
          <w:rFonts w:hint="eastAsia" w:cs="宋体"/>
          <w:b/>
          <w:bCs/>
          <w:sz w:val="72"/>
          <w:szCs w:val="84"/>
          <w:lang w:eastAsia="zh-CN"/>
        </w:rPr>
      </w:pPr>
      <w:r>
        <w:rPr>
          <w:rFonts w:hint="eastAsia" w:cs="宋体"/>
          <w:b/>
          <w:bCs/>
          <w:sz w:val="72"/>
          <w:szCs w:val="84"/>
          <w:lang w:eastAsia="zh-CN"/>
        </w:rPr>
        <w:t>福建省公安厅信访安保服务项目</w:t>
      </w:r>
    </w:p>
    <w:p w14:paraId="4F4A6F8A">
      <w:pPr>
        <w:pStyle w:val="24"/>
      </w:pPr>
    </w:p>
    <w:p w14:paraId="482A48C6">
      <w:pPr>
        <w:pStyle w:val="23"/>
        <w:spacing w:line="240" w:lineRule="auto"/>
        <w:ind w:firstLine="1838" w:firstLineChars="218"/>
        <w:rPr>
          <w:rFonts w:cs="宋体" w:asciiTheme="minorEastAsia" w:hAnsiTheme="minorEastAsia" w:eastAsiaTheme="minorEastAsia"/>
          <w:b/>
          <w:bCs/>
          <w:color w:val="auto"/>
          <w:sz w:val="84"/>
          <w:highlight w:val="none"/>
        </w:rPr>
      </w:pPr>
    </w:p>
    <w:p w14:paraId="55CA3ABB">
      <w:pPr>
        <w:pStyle w:val="23"/>
        <w:spacing w:line="240" w:lineRule="auto"/>
        <w:ind w:firstLine="0"/>
        <w:jc w:val="center"/>
        <w:rPr>
          <w:rFonts w:hint="eastAsia" w:cs="宋体"/>
          <w:b/>
          <w:bCs/>
          <w:sz w:val="56"/>
        </w:rPr>
      </w:pPr>
      <w:r>
        <w:rPr>
          <w:rFonts w:hint="eastAsia" w:cs="宋体"/>
          <w:b/>
          <w:bCs/>
          <w:sz w:val="56"/>
        </w:rPr>
        <w:t>邀请招标文件</w:t>
      </w:r>
    </w:p>
    <w:p w14:paraId="1DDCE095">
      <w:pPr>
        <w:pStyle w:val="30"/>
        <w:spacing w:line="360" w:lineRule="auto"/>
        <w:jc w:val="center"/>
        <w:rPr>
          <w:rFonts w:cs="宋体" w:asciiTheme="minorEastAsia" w:hAnsiTheme="minorEastAsia" w:eastAsiaTheme="minorEastAsia"/>
          <w:b/>
          <w:color w:val="auto"/>
          <w:sz w:val="44"/>
          <w:highlight w:val="none"/>
        </w:rPr>
      </w:pPr>
    </w:p>
    <w:p w14:paraId="2879B810">
      <w:pPr>
        <w:pStyle w:val="30"/>
        <w:spacing w:line="360" w:lineRule="auto"/>
        <w:jc w:val="center"/>
        <w:rPr>
          <w:rFonts w:cs="宋体" w:asciiTheme="minorEastAsia" w:hAnsiTheme="minorEastAsia" w:eastAsiaTheme="minorEastAsia"/>
          <w:b/>
          <w:color w:val="auto"/>
          <w:sz w:val="44"/>
          <w:highlight w:val="none"/>
        </w:rPr>
      </w:pPr>
    </w:p>
    <w:p w14:paraId="112BE8CD">
      <w:pPr>
        <w:pStyle w:val="30"/>
        <w:spacing w:line="360" w:lineRule="auto"/>
        <w:jc w:val="center"/>
        <w:rPr>
          <w:rFonts w:cs="宋体" w:asciiTheme="minorEastAsia" w:hAnsiTheme="minorEastAsia" w:eastAsiaTheme="minorEastAsia"/>
          <w:b/>
          <w:color w:val="auto"/>
          <w:sz w:val="44"/>
          <w:highlight w:val="none"/>
        </w:rPr>
      </w:pPr>
    </w:p>
    <w:p w14:paraId="67587BCF">
      <w:pPr>
        <w:pStyle w:val="30"/>
        <w:tabs>
          <w:tab w:val="left" w:pos="1800"/>
          <w:tab w:val="left" w:pos="1980"/>
        </w:tabs>
        <w:spacing w:line="360" w:lineRule="auto"/>
        <w:ind w:firstLine="964" w:firstLineChars="300"/>
        <w:jc w:val="left"/>
        <w:rPr>
          <w:rFonts w:hint="eastAsia" w:cs="宋体" w:asciiTheme="minorEastAsia" w:hAnsiTheme="minorEastAsia" w:eastAsiaTheme="minorEastAsia"/>
          <w:b/>
          <w:color w:val="auto"/>
          <w:sz w:val="32"/>
          <w:szCs w:val="32"/>
          <w:highlight w:val="none"/>
          <w:u w:val="single"/>
          <w:lang w:eastAsia="zh-CN"/>
        </w:rPr>
      </w:pPr>
      <w:r>
        <w:rPr>
          <w:rFonts w:hint="eastAsia" w:cs="宋体" w:asciiTheme="minorEastAsia" w:hAnsiTheme="minorEastAsia" w:eastAsiaTheme="minorEastAsia"/>
          <w:b/>
          <w:color w:val="auto"/>
          <w:sz w:val="32"/>
          <w:szCs w:val="32"/>
          <w:highlight w:val="none"/>
        </w:rPr>
        <w:t>项目编号：</w:t>
      </w:r>
      <w:r>
        <w:rPr>
          <w:rFonts w:hint="eastAsia" w:cs="宋体" w:asciiTheme="minorEastAsia" w:hAnsiTheme="minorEastAsia" w:eastAsiaTheme="minorEastAsia"/>
          <w:b/>
          <w:color w:val="auto"/>
          <w:sz w:val="32"/>
          <w:szCs w:val="32"/>
          <w:highlight w:val="none"/>
          <w:u w:val="single"/>
          <w:lang w:eastAsia="zh-CN"/>
        </w:rPr>
        <w:t>FJHZ-YQ-2026125</w:t>
      </w:r>
    </w:p>
    <w:p w14:paraId="2197D4B9">
      <w:pPr>
        <w:spacing w:line="360" w:lineRule="auto"/>
        <w:ind w:firstLine="964" w:firstLineChars="300"/>
        <w:rPr>
          <w:rFonts w:hint="eastAsia" w:cs="宋体" w:asciiTheme="minorEastAsia" w:hAnsiTheme="minorEastAsia" w:eastAsiaTheme="minorEastAsia"/>
          <w:b/>
          <w:color w:val="auto"/>
          <w:sz w:val="32"/>
          <w:szCs w:val="32"/>
          <w:highlight w:val="none"/>
          <w:u w:val="single"/>
          <w:lang w:eastAsia="zh-CN"/>
        </w:rPr>
      </w:pPr>
      <w:r>
        <w:rPr>
          <w:rFonts w:hint="eastAsia" w:cs="宋体" w:asciiTheme="minorEastAsia" w:hAnsiTheme="minorEastAsia" w:eastAsiaTheme="minorEastAsia"/>
          <w:b/>
          <w:color w:val="auto"/>
          <w:sz w:val="32"/>
          <w:szCs w:val="32"/>
          <w:highlight w:val="none"/>
        </w:rPr>
        <w:t>项目名称：</w:t>
      </w:r>
      <w:r>
        <w:rPr>
          <w:rFonts w:hint="eastAsia" w:cs="宋体" w:asciiTheme="minorEastAsia" w:hAnsiTheme="minorEastAsia" w:eastAsiaTheme="minorEastAsia"/>
          <w:b/>
          <w:color w:val="auto"/>
          <w:sz w:val="32"/>
          <w:szCs w:val="32"/>
          <w:highlight w:val="none"/>
          <w:u w:val="single"/>
          <w:lang w:eastAsia="zh-CN"/>
        </w:rPr>
        <w:t>福建省公安厅信访安保服务项目</w:t>
      </w:r>
    </w:p>
    <w:p w14:paraId="0374369D">
      <w:pPr>
        <w:spacing w:line="360" w:lineRule="auto"/>
        <w:ind w:firstLine="964" w:firstLineChars="300"/>
        <w:rPr>
          <w:rFonts w:hint="eastAsia" w:cs="宋体" w:asciiTheme="minorEastAsia" w:hAnsiTheme="minorEastAsia" w:eastAsiaTheme="minorEastAsia"/>
          <w:b/>
          <w:color w:val="auto"/>
          <w:sz w:val="32"/>
          <w:szCs w:val="32"/>
          <w:highlight w:val="none"/>
          <w:u w:val="single"/>
          <w:lang w:eastAsia="zh-CN"/>
        </w:rPr>
      </w:pPr>
      <w:r>
        <w:rPr>
          <w:rFonts w:hint="eastAsia" w:cs="宋体" w:asciiTheme="minorEastAsia" w:hAnsiTheme="minorEastAsia" w:eastAsiaTheme="minorEastAsia"/>
          <w:b/>
          <w:color w:val="auto"/>
          <w:sz w:val="32"/>
          <w:szCs w:val="32"/>
          <w:highlight w:val="none"/>
        </w:rPr>
        <w:t>采 购 人：</w:t>
      </w:r>
      <w:r>
        <w:rPr>
          <w:rFonts w:hint="eastAsia" w:cs="宋体" w:asciiTheme="minorEastAsia" w:hAnsiTheme="minorEastAsia" w:eastAsiaTheme="minorEastAsia"/>
          <w:b/>
          <w:color w:val="auto"/>
          <w:sz w:val="32"/>
          <w:szCs w:val="32"/>
          <w:highlight w:val="none"/>
          <w:u w:val="single"/>
          <w:lang w:eastAsia="zh-CN"/>
        </w:rPr>
        <w:t>福建省公安厅</w:t>
      </w:r>
    </w:p>
    <w:p w14:paraId="1ABA58AA">
      <w:pPr>
        <w:pStyle w:val="30"/>
        <w:spacing w:line="360" w:lineRule="auto"/>
        <w:ind w:left="2100" w:leftChars="1000"/>
        <w:jc w:val="left"/>
        <w:rPr>
          <w:rFonts w:cs="宋体" w:asciiTheme="minorEastAsia" w:hAnsiTheme="minorEastAsia" w:eastAsiaTheme="minorEastAsia"/>
          <w:b/>
          <w:color w:val="auto"/>
          <w:sz w:val="32"/>
          <w:szCs w:val="32"/>
          <w:highlight w:val="none"/>
          <w:u w:val="single"/>
        </w:rPr>
      </w:pPr>
    </w:p>
    <w:p w14:paraId="749582C7">
      <w:pPr>
        <w:pStyle w:val="30"/>
        <w:spacing w:line="360" w:lineRule="auto"/>
        <w:jc w:val="left"/>
        <w:rPr>
          <w:rFonts w:cs="宋体" w:asciiTheme="minorEastAsia" w:hAnsiTheme="minorEastAsia" w:eastAsiaTheme="minorEastAsia"/>
          <w:b/>
          <w:color w:val="auto"/>
          <w:sz w:val="32"/>
          <w:szCs w:val="32"/>
          <w:highlight w:val="none"/>
        </w:rPr>
      </w:pPr>
    </w:p>
    <w:p w14:paraId="02D9D283">
      <w:pPr>
        <w:pStyle w:val="30"/>
        <w:spacing w:line="360" w:lineRule="auto"/>
        <w:jc w:val="left"/>
        <w:rPr>
          <w:rFonts w:cs="宋体" w:asciiTheme="minorEastAsia" w:hAnsiTheme="minorEastAsia" w:eastAsiaTheme="minorEastAsia"/>
          <w:b/>
          <w:color w:val="auto"/>
          <w:sz w:val="32"/>
          <w:szCs w:val="32"/>
          <w:highlight w:val="none"/>
        </w:rPr>
      </w:pPr>
    </w:p>
    <w:p w14:paraId="2E143A5F">
      <w:pPr>
        <w:pStyle w:val="30"/>
        <w:spacing w:line="360" w:lineRule="auto"/>
        <w:jc w:val="left"/>
        <w:rPr>
          <w:rFonts w:cs="宋体" w:asciiTheme="minorEastAsia" w:hAnsiTheme="minorEastAsia" w:eastAsiaTheme="minorEastAsia"/>
          <w:b/>
          <w:color w:val="auto"/>
          <w:sz w:val="32"/>
          <w:szCs w:val="32"/>
          <w:highlight w:val="none"/>
        </w:rPr>
      </w:pPr>
    </w:p>
    <w:p w14:paraId="1594788C">
      <w:pPr>
        <w:spacing w:line="36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招标代理机构：福建华真招标代理有限公司</w:t>
      </w:r>
    </w:p>
    <w:p w14:paraId="182434C0">
      <w:pPr>
        <w:spacing w:line="360" w:lineRule="auto"/>
        <w:jc w:val="center"/>
        <w:rPr>
          <w:rFonts w:cs="宋体" w:asciiTheme="minorEastAsia" w:hAnsiTheme="minorEastAsia" w:eastAsiaTheme="minorEastAsia"/>
          <w:b/>
          <w:color w:val="auto"/>
          <w:sz w:val="32"/>
          <w:szCs w:val="32"/>
          <w:highlight w:val="none"/>
        </w:rPr>
      </w:pPr>
      <w:r>
        <w:rPr>
          <w:rFonts w:hint="eastAsia" w:cs="宋体" w:asciiTheme="minorEastAsia" w:hAnsiTheme="minorEastAsia" w:eastAsiaTheme="minorEastAsia"/>
          <w:b/>
          <w:color w:val="auto"/>
          <w:sz w:val="32"/>
          <w:szCs w:val="32"/>
          <w:highlight w:val="none"/>
        </w:rPr>
        <w:t>202</w:t>
      </w:r>
      <w:r>
        <w:rPr>
          <w:rFonts w:hint="eastAsia" w:cs="宋体" w:asciiTheme="minorEastAsia" w:hAnsiTheme="minorEastAsia" w:eastAsiaTheme="minorEastAsia"/>
          <w:b/>
          <w:color w:val="auto"/>
          <w:sz w:val="32"/>
          <w:szCs w:val="32"/>
          <w:highlight w:val="none"/>
          <w:lang w:val="en-US" w:eastAsia="zh-CN"/>
        </w:rPr>
        <w:t>6</w:t>
      </w:r>
      <w:r>
        <w:rPr>
          <w:rFonts w:hint="eastAsia" w:cs="宋体" w:asciiTheme="minorEastAsia" w:hAnsiTheme="minorEastAsia" w:eastAsiaTheme="minorEastAsia"/>
          <w:b/>
          <w:color w:val="auto"/>
          <w:sz w:val="32"/>
          <w:szCs w:val="32"/>
          <w:highlight w:val="none"/>
        </w:rPr>
        <w:t>年0</w:t>
      </w:r>
      <w:r>
        <w:rPr>
          <w:rFonts w:hint="eastAsia" w:cs="宋体" w:asciiTheme="minorEastAsia" w:hAnsiTheme="minorEastAsia" w:eastAsiaTheme="minorEastAsia"/>
          <w:b/>
          <w:color w:val="auto"/>
          <w:sz w:val="32"/>
          <w:szCs w:val="32"/>
          <w:highlight w:val="none"/>
          <w:lang w:val="en-US" w:eastAsia="zh-CN"/>
        </w:rPr>
        <w:t>6</w:t>
      </w:r>
      <w:r>
        <w:rPr>
          <w:rFonts w:hint="eastAsia" w:cs="宋体" w:asciiTheme="minorEastAsia" w:hAnsiTheme="minorEastAsia" w:eastAsiaTheme="minorEastAsia"/>
          <w:b/>
          <w:color w:val="auto"/>
          <w:sz w:val="32"/>
          <w:szCs w:val="32"/>
          <w:highlight w:val="none"/>
        </w:rPr>
        <w:t>月</w:t>
      </w:r>
    </w:p>
    <w:p w14:paraId="66448784">
      <w:pPr>
        <w:pStyle w:val="30"/>
        <w:spacing w:line="360" w:lineRule="auto"/>
        <w:jc w:val="center"/>
        <w:rPr>
          <w:rFonts w:asciiTheme="minorEastAsia" w:hAnsiTheme="minorEastAsia" w:eastAsiaTheme="minorEastAsia"/>
          <w:b/>
          <w:color w:val="auto"/>
          <w:sz w:val="36"/>
          <w:highlight w:val="none"/>
        </w:rPr>
      </w:pPr>
      <w:r>
        <w:rPr>
          <w:rFonts w:cs="宋体" w:asciiTheme="minorEastAsia" w:hAnsiTheme="minorEastAsia" w:eastAsiaTheme="minorEastAsia"/>
          <w:b/>
          <w:color w:val="auto"/>
          <w:sz w:val="36"/>
          <w:szCs w:val="36"/>
          <w:highlight w:val="none"/>
        </w:rPr>
        <w:br w:type="page"/>
      </w:r>
      <w:r>
        <w:rPr>
          <w:rFonts w:asciiTheme="minorEastAsia" w:hAnsiTheme="minorEastAsia" w:eastAsiaTheme="minorEastAsia"/>
          <w:b/>
          <w:color w:val="auto"/>
          <w:sz w:val="36"/>
          <w:highlight w:val="none"/>
          <w:lang w:val="zh-CN"/>
        </w:rPr>
        <w:t>目录</w:t>
      </w:r>
    </w:p>
    <w:p w14:paraId="4DE1D3AC">
      <w:pPr>
        <w:pStyle w:val="3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_Toc30038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第一章  投标邀请</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_Toc30038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4C702AC2">
      <w:pPr>
        <w:pStyle w:val="3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_Toc9905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第二章投标人须知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_Toc9905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0A5F85F1">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_Toc15529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投标人须知前附表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_Toc15529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5690F990">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_Toc3992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pacing w:val="-4"/>
          <w:sz w:val="28"/>
          <w:szCs w:val="28"/>
          <w:highlight w:val="none"/>
        </w:rPr>
        <w:t>附件A：评标方法</w:t>
      </w:r>
      <w:r>
        <w:rPr>
          <w:rFonts w:hint="eastAsia" w:asciiTheme="minorEastAsia" w:hAnsiTheme="minorEastAsia" w:eastAsiaTheme="minorEastAsia" w:cstheme="minorEastAsia"/>
          <w:sz w:val="28"/>
          <w:szCs w:val="28"/>
        </w:rPr>
        <w:tab/>
      </w:r>
      <w:bookmarkStart w:id="71" w:name="_GoBack"/>
      <w:bookmarkEnd w:id="71"/>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_Toc3992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63D77C16">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_Toc24435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一、说明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_Toc24435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5D2F83F2">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_Toc16475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bCs/>
          <w:sz w:val="28"/>
          <w:szCs w:val="28"/>
          <w:highlight w:val="none"/>
        </w:rPr>
        <w:t>二、招标文件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_Toc16475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6538AF24">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_Toc27883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三、投标文件的编写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_Toc27883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77A778F1">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_Toc30549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四、投标文件的提交</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_Toc30549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748DD33B">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_Toc28150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五、投标文件的评估和比较</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_Toc28150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2AB0A880">
      <w:pPr>
        <w:pStyle w:val="44"/>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_Toc13805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六、定标与签订合同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_Toc13805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0EE18D23">
      <w:pPr>
        <w:pStyle w:val="3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_Toc21033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第三章  招标内容及要求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_Toc21033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26E04719">
      <w:pPr>
        <w:pStyle w:val="3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_Toc31233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第四章  政府采购合同（参考文本）</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_Toc31233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67AADEDC">
      <w:pPr>
        <w:pStyle w:val="38"/>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_Toc16901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第五章投标文件格式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_Toc16901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color w:val="auto"/>
          <w:sz w:val="28"/>
          <w:szCs w:val="28"/>
          <w:highlight w:val="none"/>
        </w:rPr>
        <w:fldChar w:fldCharType="end"/>
      </w:r>
    </w:p>
    <w:p w14:paraId="558042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end"/>
      </w:r>
    </w:p>
    <w:p w14:paraId="3D515BDF">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26DD4F5E">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77337691">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2F890F61">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20F8D2C3">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55D8AA2D">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4BFA56BB">
      <w:pPr>
        <w:pStyle w:val="6"/>
        <w:tabs>
          <w:tab w:val="right" w:leader="dot" w:pos="9781"/>
        </w:tabs>
        <w:snapToGrid w:val="0"/>
        <w:spacing w:line="360" w:lineRule="auto"/>
        <w:ind w:firstLine="0"/>
        <w:rPr>
          <w:rFonts w:cs="宋体" w:asciiTheme="minorEastAsia" w:hAnsiTheme="minorEastAsia" w:eastAsiaTheme="minorEastAsia"/>
          <w:color w:val="auto"/>
          <w:szCs w:val="21"/>
          <w:highlight w:val="none"/>
        </w:rPr>
      </w:pPr>
    </w:p>
    <w:p w14:paraId="0C26E4BA">
      <w:pPr>
        <w:pStyle w:val="6"/>
        <w:snapToGrid w:val="0"/>
        <w:spacing w:line="360" w:lineRule="auto"/>
        <w:ind w:firstLine="0"/>
        <w:rPr>
          <w:rFonts w:cs="宋体" w:asciiTheme="minorEastAsia" w:hAnsiTheme="minorEastAsia" w:eastAsiaTheme="minorEastAsia"/>
          <w:color w:val="auto"/>
          <w:szCs w:val="21"/>
          <w:highlight w:val="none"/>
        </w:rPr>
      </w:pPr>
    </w:p>
    <w:p w14:paraId="28F21DB5">
      <w:pPr>
        <w:pStyle w:val="6"/>
        <w:snapToGrid w:val="0"/>
        <w:spacing w:line="360" w:lineRule="auto"/>
        <w:ind w:firstLine="480" w:firstLineChars="2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 w:val="24"/>
          <w:szCs w:val="24"/>
          <w:highlight w:val="none"/>
        </w:rPr>
        <w:t>注：本招标文件共</w:t>
      </w:r>
      <w:r>
        <w:rPr>
          <w:rFonts w:hint="eastAsia" w:cs="宋体" w:asciiTheme="minorEastAsia" w:hAnsiTheme="minorEastAsia" w:eastAsiaTheme="minorEastAsia"/>
          <w:color w:val="auto"/>
          <w:sz w:val="24"/>
          <w:szCs w:val="24"/>
          <w:highlight w:val="none"/>
          <w:u w:val="single"/>
          <w:lang w:val="en-US" w:eastAsia="zh-CN"/>
        </w:rPr>
        <w:t>58</w:t>
      </w:r>
      <w:r>
        <w:rPr>
          <w:rFonts w:hint="eastAsia" w:cs="宋体" w:asciiTheme="minorEastAsia" w:hAnsiTheme="minorEastAsia" w:eastAsiaTheme="minorEastAsia"/>
          <w:color w:val="auto"/>
          <w:sz w:val="24"/>
          <w:szCs w:val="24"/>
          <w:highlight w:val="none"/>
        </w:rPr>
        <w:t>页（含封面），请投标人自行核对，如发现缺、损等情况，自领取招标文件之日起二日内向福建华真招标代理有限公司提出，否则，由此造成的一切后果由投标人自负。</w:t>
      </w:r>
    </w:p>
    <w:p w14:paraId="4EC0BF70">
      <w:pPr>
        <w:spacing w:line="360" w:lineRule="auto"/>
        <w:jc w:val="center"/>
        <w:outlineLvl w:val="0"/>
        <w:rPr>
          <w:rFonts w:cs="宋体" w:asciiTheme="minorEastAsia" w:hAnsiTheme="minorEastAsia" w:eastAsiaTheme="minorEastAsia"/>
          <w:b/>
          <w:bCs/>
          <w:color w:val="auto"/>
          <w:sz w:val="32"/>
          <w:szCs w:val="32"/>
          <w:highlight w:val="none"/>
        </w:rPr>
      </w:pPr>
      <w:bookmarkStart w:id="0" w:name="_Toc421107715"/>
      <w:r>
        <w:rPr>
          <w:rFonts w:hint="eastAsia" w:cs="宋体" w:asciiTheme="minorEastAsia" w:hAnsiTheme="minorEastAsia" w:eastAsiaTheme="minorEastAsia"/>
          <w:b/>
          <w:bCs/>
          <w:color w:val="auto"/>
          <w:sz w:val="32"/>
          <w:szCs w:val="32"/>
          <w:highlight w:val="none"/>
        </w:rPr>
        <w:br w:type="page"/>
      </w:r>
      <w:bookmarkStart w:id="1" w:name="_Toc30038"/>
      <w:bookmarkStart w:id="2" w:name="_Toc25354"/>
      <w:r>
        <w:rPr>
          <w:rFonts w:hint="eastAsia" w:cs="宋体" w:asciiTheme="minorEastAsia" w:hAnsiTheme="minorEastAsia" w:eastAsiaTheme="minorEastAsia"/>
          <w:b/>
          <w:bCs/>
          <w:color w:val="auto"/>
          <w:sz w:val="32"/>
          <w:szCs w:val="32"/>
          <w:highlight w:val="none"/>
        </w:rPr>
        <w:t>第一章  投标邀请</w:t>
      </w:r>
      <w:bookmarkEnd w:id="0"/>
      <w:bookmarkEnd w:id="1"/>
      <w:bookmarkEnd w:id="2"/>
    </w:p>
    <w:p w14:paraId="3FD8CAFB">
      <w:pPr>
        <w:spacing w:line="400" w:lineRule="exact"/>
        <w:ind w:firstLine="480" w:firstLineChars="200"/>
        <w:rPr>
          <w:rFonts w:hint="eastAsia" w:eastAsia="宋体" w:cs="宋体" w:asciiTheme="minorEastAsia" w:hAnsiTheme="minorEastAsia"/>
          <w:color w:val="auto"/>
          <w:sz w:val="24"/>
          <w:szCs w:val="24"/>
          <w:highlight w:val="none"/>
          <w:lang w:eastAsia="zh-CN"/>
        </w:rPr>
      </w:pPr>
      <w:r>
        <w:rPr>
          <w:rFonts w:hint="eastAsia" w:ascii="宋体" w:hAnsi="宋体" w:cs="宋体"/>
          <w:sz w:val="24"/>
          <w:szCs w:val="24"/>
        </w:rPr>
        <w:t>受</w:t>
      </w:r>
      <w:r>
        <w:rPr>
          <w:rFonts w:hint="eastAsia" w:ascii="宋体" w:hAnsi="宋体" w:cs="宋体"/>
          <w:sz w:val="24"/>
          <w:szCs w:val="24"/>
          <w:u w:val="single"/>
          <w:lang w:eastAsia="zh-CN"/>
        </w:rPr>
        <w:t>福建省公安厅</w:t>
      </w:r>
      <w:r>
        <w:rPr>
          <w:rFonts w:hint="eastAsia" w:ascii="宋体" w:hAnsi="宋体" w:cs="宋体"/>
          <w:sz w:val="24"/>
          <w:szCs w:val="24"/>
        </w:rPr>
        <w:t>委托，对</w:t>
      </w:r>
      <w:r>
        <w:rPr>
          <w:rFonts w:hint="eastAsia" w:ascii="宋体" w:hAnsi="宋体" w:cs="宋体"/>
          <w:sz w:val="24"/>
          <w:szCs w:val="24"/>
          <w:u w:val="single"/>
          <w:lang w:eastAsia="zh-CN"/>
        </w:rPr>
        <w:t>福建省公安厅信访安保服务项目</w:t>
      </w:r>
      <w:r>
        <w:rPr>
          <w:rFonts w:hint="eastAsia" w:ascii="宋体" w:hAnsi="宋体" w:cs="宋体"/>
          <w:sz w:val="24"/>
          <w:szCs w:val="24"/>
        </w:rPr>
        <w:t>进行</w:t>
      </w:r>
      <w:r>
        <w:rPr>
          <w:rFonts w:hint="eastAsia" w:ascii="宋体" w:hAnsi="宋体" w:cs="宋体"/>
          <w:sz w:val="24"/>
          <w:szCs w:val="24"/>
          <w:lang w:eastAsia="zh-CN"/>
        </w:rPr>
        <w:t>邀请招标</w:t>
      </w:r>
      <w:r>
        <w:rPr>
          <w:rFonts w:hint="eastAsia" w:ascii="宋体" w:hAnsi="宋体" w:cs="宋体"/>
          <w:sz w:val="24"/>
          <w:szCs w:val="24"/>
        </w:rPr>
        <w:t>，现邀请</w:t>
      </w:r>
      <w:r>
        <w:rPr>
          <w:rFonts w:hint="eastAsia" w:ascii="宋体" w:hAnsi="宋体" w:cs="宋体"/>
          <w:b w:val="0"/>
          <w:bCs w:val="0"/>
          <w:sz w:val="24"/>
          <w:szCs w:val="24"/>
          <w:highlight w:val="none"/>
          <w:u w:val="single"/>
        </w:rPr>
        <w:t>东保国际保安服务有限公司、福建国泰保安服务有限公司、福建仓隆保安服务有限公司</w:t>
      </w:r>
      <w:r>
        <w:rPr>
          <w:rFonts w:hint="eastAsia" w:ascii="宋体" w:hAnsi="宋体" w:cs="宋体"/>
          <w:sz w:val="24"/>
          <w:szCs w:val="24"/>
        </w:rPr>
        <w:t>前来提交密封的投标文件</w:t>
      </w:r>
      <w:r>
        <w:rPr>
          <w:rFonts w:hint="eastAsia" w:ascii="宋体" w:hAnsi="宋体" w:cs="宋体"/>
          <w:sz w:val="24"/>
          <w:szCs w:val="24"/>
          <w:lang w:eastAsia="zh-CN"/>
        </w:rPr>
        <w:t>。</w:t>
      </w:r>
    </w:p>
    <w:p w14:paraId="0D284E6E">
      <w:pPr>
        <w:spacing w:line="400" w:lineRule="exact"/>
        <w:ind w:firstLine="482" w:firstLineChars="200"/>
        <w:rPr>
          <w:rFonts w:hint="eastAsia" w:cs="宋体" w:asciiTheme="minorEastAsia" w:hAnsiTheme="minorEastAsia" w:eastAsiaTheme="minorEastAsia"/>
          <w:color w:val="auto"/>
          <w:sz w:val="24"/>
          <w:szCs w:val="24"/>
          <w:highlight w:val="none"/>
          <w:u w:val="single"/>
          <w:lang w:eastAsia="zh-CN"/>
        </w:rPr>
      </w:pPr>
      <w:r>
        <w:rPr>
          <w:rFonts w:hint="eastAsia" w:cs="宋体" w:asciiTheme="minorEastAsia" w:hAnsiTheme="minorEastAsia" w:eastAsiaTheme="minorEastAsia"/>
          <w:b/>
          <w:bCs/>
          <w:color w:val="auto"/>
          <w:sz w:val="24"/>
          <w:szCs w:val="24"/>
          <w:highlight w:val="none"/>
        </w:rPr>
        <w:t>1、项目编号：</w:t>
      </w:r>
      <w:r>
        <w:rPr>
          <w:rFonts w:hint="eastAsia" w:cs="宋体" w:asciiTheme="minorEastAsia" w:hAnsiTheme="minorEastAsia" w:eastAsiaTheme="minorEastAsia"/>
          <w:color w:val="auto"/>
          <w:sz w:val="24"/>
          <w:szCs w:val="24"/>
          <w:highlight w:val="none"/>
          <w:u w:val="single"/>
          <w:lang w:eastAsia="zh-CN"/>
        </w:rPr>
        <w:t>FJHZ-YQ-2026125</w:t>
      </w:r>
    </w:p>
    <w:p w14:paraId="1990FA35">
      <w:pPr>
        <w:spacing w:line="400" w:lineRule="exact"/>
        <w:ind w:firstLine="482" w:firstLineChars="200"/>
        <w:rPr>
          <w:rFonts w:hint="eastAsia" w:cs="宋体" w:asciiTheme="minorEastAsia" w:hAnsiTheme="minorEastAsia" w:eastAsiaTheme="minorEastAsia"/>
          <w:color w:val="auto"/>
          <w:sz w:val="24"/>
          <w:szCs w:val="24"/>
          <w:highlight w:val="none"/>
          <w:u w:val="single"/>
          <w:lang w:eastAsia="zh-CN"/>
        </w:rPr>
      </w:pPr>
      <w:r>
        <w:rPr>
          <w:rFonts w:hint="eastAsia" w:cs="宋体" w:asciiTheme="minorEastAsia" w:hAnsiTheme="minorEastAsia" w:eastAsiaTheme="minorEastAsia"/>
          <w:b/>
          <w:bCs/>
          <w:color w:val="auto"/>
          <w:sz w:val="24"/>
          <w:szCs w:val="24"/>
          <w:highlight w:val="none"/>
        </w:rPr>
        <w:t>2、项目名称：</w:t>
      </w:r>
      <w:r>
        <w:rPr>
          <w:rFonts w:hint="eastAsia" w:cs="宋体" w:asciiTheme="minorEastAsia" w:hAnsiTheme="minorEastAsia" w:eastAsiaTheme="minorEastAsia"/>
          <w:color w:val="auto"/>
          <w:sz w:val="24"/>
          <w:szCs w:val="24"/>
          <w:highlight w:val="none"/>
          <w:u w:val="single"/>
          <w:lang w:eastAsia="zh-CN"/>
        </w:rPr>
        <w:t>福建省公安厅信访安保服务项目</w:t>
      </w:r>
    </w:p>
    <w:p w14:paraId="23462E15">
      <w:pPr>
        <w:spacing w:line="400" w:lineRule="exact"/>
        <w:ind w:firstLine="482" w:firstLineChars="200"/>
        <w:rPr>
          <w:rFonts w:hint="eastAsia"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rPr>
        <w:t>3、</w:t>
      </w:r>
      <w:r>
        <w:rPr>
          <w:rFonts w:hint="eastAsia" w:cs="宋体" w:asciiTheme="minorEastAsia" w:hAnsiTheme="minorEastAsia" w:eastAsiaTheme="minorEastAsia"/>
          <w:b/>
          <w:bCs/>
          <w:color w:val="auto"/>
          <w:spacing w:val="-14"/>
          <w:sz w:val="24"/>
          <w:szCs w:val="24"/>
          <w:highlight w:val="none"/>
        </w:rPr>
        <w:t>招标货物（服务）名称、数量及主要技术规格：</w:t>
      </w:r>
      <w:r>
        <w:rPr>
          <w:rFonts w:hint="eastAsia" w:cs="宋体" w:asciiTheme="minorEastAsia" w:hAnsiTheme="minorEastAsia" w:eastAsiaTheme="minorEastAsia"/>
          <w:color w:val="auto"/>
          <w:spacing w:val="-14"/>
          <w:sz w:val="24"/>
          <w:szCs w:val="24"/>
          <w:highlight w:val="none"/>
        </w:rPr>
        <w:t>详见</w:t>
      </w:r>
      <w:r>
        <w:rPr>
          <w:rFonts w:hint="eastAsia" w:cs="宋体" w:asciiTheme="minorEastAsia" w:hAnsiTheme="minorEastAsia" w:eastAsiaTheme="minorEastAsia"/>
          <w:color w:val="auto"/>
          <w:sz w:val="24"/>
          <w:szCs w:val="24"/>
          <w:highlight w:val="none"/>
        </w:rPr>
        <w:t>招标内容一览表及第三章招标内容及要求。</w:t>
      </w:r>
    </w:p>
    <w:p w14:paraId="1A83F274">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4</w:t>
      </w:r>
      <w:r>
        <w:rPr>
          <w:rFonts w:hint="eastAsia" w:cs="宋体" w:asciiTheme="minorEastAsia" w:hAnsiTheme="minorEastAsia" w:eastAsiaTheme="minorEastAsia"/>
          <w:b/>
          <w:bCs/>
          <w:color w:val="auto"/>
          <w:sz w:val="24"/>
          <w:szCs w:val="24"/>
          <w:highlight w:val="none"/>
        </w:rPr>
        <w:t>、招标文件的获取</w:t>
      </w:r>
    </w:p>
    <w:p w14:paraId="3D073484">
      <w:pPr>
        <w:pStyle w:val="500"/>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hint="eastAsia" w:cs="宋体" w:asciiTheme="minorEastAsia" w:hAnsiTheme="minorEastAsia" w:eastAsiaTheme="minorEastAsia"/>
          <w:bCs/>
          <w:color w:val="auto"/>
          <w:kern w:val="2"/>
          <w:sz w:val="24"/>
          <w:highlight w:val="none"/>
          <w:lang w:val="en-US" w:eastAsia="zh-CN" w:bidi="ar-SA"/>
        </w:rPr>
      </w:pPr>
      <w:r>
        <w:rPr>
          <w:rFonts w:hint="eastAsia" w:cs="宋体" w:asciiTheme="minorEastAsia" w:hAnsiTheme="minorEastAsia"/>
          <w:bCs/>
          <w:color w:val="auto"/>
          <w:kern w:val="2"/>
          <w:sz w:val="24"/>
          <w:highlight w:val="none"/>
          <w:lang w:val="en-US" w:eastAsia="zh-CN" w:bidi="ar-SA"/>
        </w:rPr>
        <w:t>4.1</w:t>
      </w:r>
      <w:r>
        <w:rPr>
          <w:rFonts w:hint="eastAsia" w:cs="宋体" w:asciiTheme="minorEastAsia" w:hAnsiTheme="minorEastAsia" w:eastAsiaTheme="minorEastAsia"/>
          <w:bCs/>
          <w:color w:val="auto"/>
          <w:kern w:val="2"/>
          <w:sz w:val="24"/>
          <w:highlight w:val="none"/>
          <w:lang w:val="en-US" w:eastAsia="zh-CN" w:bidi="ar-SA"/>
        </w:rPr>
        <w:t>招标文件获取期限：详见招标公告或更正公告，若不一致，以更正公告为准。</w:t>
      </w:r>
    </w:p>
    <w:p w14:paraId="5BB6D656">
      <w:pPr>
        <w:keepNext w:val="0"/>
        <w:keepLines w:val="0"/>
        <w:pageBreakBefore w:val="0"/>
        <w:widowControl/>
        <w:kinsoku/>
        <w:wordWrap/>
        <w:overflowPunct/>
        <w:topLinePunct w:val="0"/>
        <w:autoSpaceDE/>
        <w:autoSpaceDN/>
        <w:bidi w:val="0"/>
        <w:adjustRightInd/>
        <w:snapToGrid/>
        <w:spacing w:line="400" w:lineRule="exact"/>
        <w:ind w:firstLine="480"/>
        <w:jc w:val="left"/>
        <w:textAlignment w:val="auto"/>
        <w:rPr>
          <w:rFonts w:hint="eastAsia" w:cs="宋体" w:asciiTheme="minorEastAsia" w:hAnsiTheme="minorEastAsia" w:eastAsiaTheme="minorEastAsia"/>
          <w:bCs/>
          <w:color w:val="auto"/>
          <w:kern w:val="2"/>
          <w:sz w:val="24"/>
          <w:highlight w:val="none"/>
          <w:lang w:val="en-US" w:eastAsia="zh-CN" w:bidi="ar-SA"/>
        </w:rPr>
      </w:pPr>
      <w:r>
        <w:rPr>
          <w:rFonts w:hint="eastAsia" w:cs="宋体" w:asciiTheme="minorEastAsia" w:hAnsiTheme="minorEastAsia" w:eastAsiaTheme="minorEastAsia"/>
          <w:bCs/>
          <w:color w:val="auto"/>
          <w:kern w:val="2"/>
          <w:sz w:val="24"/>
          <w:highlight w:val="none"/>
          <w:lang w:val="en-US" w:eastAsia="zh-CN" w:bidi="ar-SA"/>
        </w:rPr>
        <w:t>4.2获取地点及方式：投标人可通过</w:t>
      </w:r>
      <w:r>
        <w:rPr>
          <w:rFonts w:hint="eastAsia" w:cs="宋体" w:asciiTheme="minorEastAsia" w:hAnsiTheme="minorEastAsia" w:eastAsiaTheme="minorEastAsia"/>
          <w:color w:val="auto"/>
          <w:kern w:val="0"/>
          <w:sz w:val="24"/>
          <w:szCs w:val="24"/>
          <w:highlight w:val="none"/>
        </w:rPr>
        <w:t>工采通电子招投标交易平台（http://www.easy-prt.com）</w:t>
      </w:r>
      <w:r>
        <w:rPr>
          <w:rFonts w:hint="eastAsia" w:cs="宋体" w:asciiTheme="minorEastAsia" w:hAnsiTheme="minorEastAsia"/>
          <w:color w:val="auto"/>
          <w:kern w:val="0"/>
          <w:sz w:val="24"/>
          <w:szCs w:val="24"/>
          <w:highlight w:val="none"/>
          <w:lang w:eastAsia="zh-CN"/>
        </w:rPr>
        <w:t>和</w:t>
      </w:r>
      <w:r>
        <w:rPr>
          <w:rFonts w:hint="eastAsia" w:cs="宋体" w:asciiTheme="minorEastAsia" w:hAnsiTheme="minorEastAsia" w:eastAsiaTheme="minorEastAsia"/>
          <w:color w:val="auto"/>
          <w:kern w:val="0"/>
          <w:sz w:val="24"/>
          <w:szCs w:val="24"/>
          <w:highlight w:val="none"/>
          <w:lang w:eastAsia="zh-CN"/>
        </w:rPr>
        <w:t>福建公安公众服务网（</w:t>
      </w:r>
      <w:r>
        <w:rPr>
          <w:rFonts w:hint="eastAsia" w:cs="宋体" w:asciiTheme="minorEastAsia" w:hAnsiTheme="minorEastAsia" w:eastAsiaTheme="minorEastAsia"/>
          <w:color w:val="auto"/>
          <w:kern w:val="0"/>
          <w:sz w:val="24"/>
          <w:szCs w:val="24"/>
          <w:highlight w:val="none"/>
        </w:rPr>
        <w:t>https://gat.fujian.gov.cn/</w:t>
      </w:r>
      <w:r>
        <w:rPr>
          <w:rFonts w:hint="eastAsia" w:cs="宋体" w:asciiTheme="minorEastAsia" w:hAnsiTheme="minorEastAsia" w:eastAsiaTheme="minorEastAsia"/>
          <w:color w:val="auto"/>
          <w:kern w:val="0"/>
          <w:sz w:val="24"/>
          <w:szCs w:val="24"/>
          <w:highlight w:val="none"/>
          <w:lang w:eastAsia="zh-CN"/>
        </w:rPr>
        <w:t>）</w:t>
      </w:r>
      <w:r>
        <w:rPr>
          <w:rFonts w:hint="eastAsia" w:cs="宋体" w:asciiTheme="minorEastAsia" w:hAnsiTheme="minorEastAsia" w:eastAsiaTheme="minorEastAsia"/>
          <w:bCs/>
          <w:color w:val="auto"/>
          <w:sz w:val="24"/>
          <w:highlight w:val="none"/>
        </w:rPr>
        <w:t>在本项目招标公告页面</w:t>
      </w:r>
      <w:r>
        <w:rPr>
          <w:rFonts w:hint="eastAsia" w:cs="宋体" w:asciiTheme="minorEastAsia" w:hAnsiTheme="minorEastAsia" w:eastAsiaTheme="minorEastAsia"/>
          <w:bCs/>
          <w:color w:val="auto"/>
          <w:kern w:val="2"/>
          <w:sz w:val="24"/>
          <w:highlight w:val="none"/>
          <w:lang w:val="en-US" w:eastAsia="zh-CN" w:bidi="ar-SA"/>
        </w:rPr>
        <w:t>下载招标文件。</w:t>
      </w:r>
    </w:p>
    <w:p w14:paraId="39617995">
      <w:pPr>
        <w:pStyle w:val="500"/>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outlineLvl w:val="9"/>
        <w:rPr>
          <w:rFonts w:asciiTheme="minorEastAsia" w:hAnsiTheme="minorEastAsia" w:eastAsiaTheme="minorEastAsia"/>
          <w:color w:val="auto"/>
          <w:sz w:val="24"/>
          <w:szCs w:val="24"/>
          <w:highlight w:val="none"/>
        </w:rPr>
      </w:pPr>
      <w:r>
        <w:rPr>
          <w:rFonts w:hint="eastAsia" w:cs="宋体" w:asciiTheme="minorEastAsia" w:hAnsiTheme="minorEastAsia"/>
          <w:bCs/>
          <w:color w:val="auto"/>
          <w:kern w:val="2"/>
          <w:sz w:val="24"/>
          <w:highlight w:val="none"/>
          <w:lang w:val="en-US" w:eastAsia="zh-CN" w:bidi="ar-SA"/>
        </w:rPr>
        <w:t>4.3</w:t>
      </w:r>
      <w:r>
        <w:rPr>
          <w:rFonts w:hint="eastAsia" w:cs="宋体" w:asciiTheme="minorEastAsia" w:hAnsiTheme="minorEastAsia" w:eastAsiaTheme="minorEastAsia"/>
          <w:bCs/>
          <w:color w:val="auto"/>
          <w:kern w:val="2"/>
          <w:sz w:val="24"/>
          <w:highlight w:val="none"/>
          <w:lang w:val="en-US" w:eastAsia="zh-CN" w:bidi="ar-SA"/>
        </w:rPr>
        <w:t>招标文件售价：0元。</w:t>
      </w:r>
    </w:p>
    <w:p w14:paraId="047BAFD6">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5</w:t>
      </w:r>
      <w:r>
        <w:rPr>
          <w:rFonts w:hint="eastAsia" w:cs="宋体" w:asciiTheme="minorEastAsia" w:hAnsiTheme="minorEastAsia" w:eastAsiaTheme="minorEastAsia"/>
          <w:b/>
          <w:bCs/>
          <w:color w:val="auto"/>
          <w:sz w:val="24"/>
          <w:szCs w:val="24"/>
          <w:highlight w:val="none"/>
        </w:rPr>
        <w:t>、提交投标文件截止时间：</w:t>
      </w:r>
      <w:r>
        <w:rPr>
          <w:rFonts w:hint="eastAsia" w:cs="宋体" w:asciiTheme="minorEastAsia" w:hAnsiTheme="minorEastAsia" w:eastAsiaTheme="minorEastAsia"/>
          <w:color w:val="auto"/>
          <w:kern w:val="0"/>
          <w:sz w:val="24"/>
          <w:szCs w:val="24"/>
          <w:highlight w:val="none"/>
        </w:rPr>
        <w:t>以招标公告时间为准，投标人应在此之前将</w:t>
      </w:r>
      <w:r>
        <w:rPr>
          <w:rFonts w:hint="eastAsia" w:cs="宋体" w:asciiTheme="minorEastAsia" w:hAnsiTheme="minorEastAsia" w:eastAsiaTheme="minorEastAsia"/>
          <w:color w:val="auto"/>
          <w:sz w:val="24"/>
          <w:szCs w:val="24"/>
          <w:highlight w:val="none"/>
        </w:rPr>
        <w:t>投标文件提交到福建华真招标代理有限公司（福州市鼓楼区洪山镇洪山园路52号华润万象城（三期）S11楼3层07-13、15办公）开标大厅，逾期收到的或不符合规定的投标文件将被拒收，并将其原封不动地退回投标人。</w:t>
      </w:r>
    </w:p>
    <w:p w14:paraId="71AD1499">
      <w:pPr>
        <w:widowControl/>
        <w:spacing w:line="400" w:lineRule="exact"/>
        <w:ind w:firstLine="482" w:firstLineChars="200"/>
        <w:jc w:val="lef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6</w:t>
      </w:r>
      <w:r>
        <w:rPr>
          <w:rFonts w:hint="eastAsia" w:cs="宋体" w:asciiTheme="minorEastAsia" w:hAnsiTheme="minorEastAsia" w:eastAsiaTheme="minorEastAsia"/>
          <w:b/>
          <w:bCs/>
          <w:color w:val="auto"/>
          <w:sz w:val="24"/>
          <w:szCs w:val="24"/>
          <w:highlight w:val="none"/>
        </w:rPr>
        <w:t>、根据《中华人民共和国政府采购法实施条例》第五十二条规定：</w:t>
      </w:r>
    </w:p>
    <w:p w14:paraId="3106E0AB">
      <w:pPr>
        <w:widowControl/>
        <w:spacing w:line="4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.1采购人或者采购代理机构应当在3个工作日内对投标人依法提出的询问作出答复。</w:t>
      </w:r>
    </w:p>
    <w:p w14:paraId="2BC3A728">
      <w:pPr>
        <w:widowControl/>
        <w:spacing w:line="400" w:lineRule="exact"/>
        <w:ind w:firstLine="480" w:firstLineChars="20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.2投标人提出的询问或者质疑超出采购人对采购代理机构委托授权范围的，采购代理机构应当告知投标人向采购人提出。</w:t>
      </w:r>
    </w:p>
    <w:p w14:paraId="6643C06F">
      <w:pPr>
        <w:widowControl/>
        <w:spacing w:line="400" w:lineRule="exact"/>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.3政府采购评审专家应当配合采购人或者采购代理机构答复投标人的询问和质疑。</w:t>
      </w:r>
    </w:p>
    <w:p w14:paraId="5D622593">
      <w:pPr>
        <w:spacing w:line="40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7</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kern w:val="0"/>
          <w:sz w:val="24"/>
          <w:szCs w:val="24"/>
          <w:highlight w:val="none"/>
        </w:rPr>
        <w:t>质疑与投诉</w:t>
      </w:r>
    </w:p>
    <w:p w14:paraId="57BBE23C">
      <w:pPr>
        <w:spacing w:line="400" w:lineRule="exact"/>
        <w:ind w:firstLine="480" w:firstLineChars="20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1根据《中华人民共和国政府采购法》第五十二条规定：投标人认为采购文件、采购过程和中标、成交结果使自己的权益受到损害的，可以在知道或者应知其权益受到损害之日起七个工作日内，以书面形式向采购人或采购代理机构提出质疑。根据</w:t>
      </w:r>
      <w:r>
        <w:rPr>
          <w:rFonts w:hint="eastAsia" w:cs="宋体" w:asciiTheme="minorEastAsia" w:hAnsiTheme="minorEastAsia" w:eastAsiaTheme="minorEastAsia"/>
          <w:color w:val="auto"/>
          <w:kern w:val="0"/>
          <w:sz w:val="24"/>
          <w:szCs w:val="24"/>
          <w:highlight w:val="none"/>
        </w:rPr>
        <w:t>《中华人民共和国政府采购法实施条例》第五十三条规定，政府采购法第五十二条规定的投标人应知其权益受到损害之日，是指：</w:t>
      </w:r>
    </w:p>
    <w:p w14:paraId="2F1BF184">
      <w:pPr>
        <w:spacing w:line="400" w:lineRule="exact"/>
        <w:ind w:firstLine="480" w:firstLineChars="200"/>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(1)对可以质疑的招标文件提出质疑的，为收到招标文件之日；</w:t>
      </w:r>
    </w:p>
    <w:p w14:paraId="5834BBF5">
      <w:pPr>
        <w:widowControl/>
        <w:spacing w:line="400" w:lineRule="exact"/>
        <w:ind w:left="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(2)对采购过程提出质疑的，为各采购程序环节结束之日；</w:t>
      </w:r>
    </w:p>
    <w:p w14:paraId="551573BA">
      <w:pPr>
        <w:widowControl/>
        <w:spacing w:line="400" w:lineRule="exac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(3)对成交结果提出质疑的，为成交结果公告期限届满之日。</w:t>
      </w:r>
    </w:p>
    <w:p w14:paraId="027C22B5">
      <w:pPr>
        <w:widowControl/>
        <w:spacing w:line="400" w:lineRule="exact"/>
        <w:ind w:firstLine="48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sz w:val="24"/>
          <w:szCs w:val="24"/>
          <w:highlight w:val="none"/>
          <w:lang w:val="en-US" w:eastAsia="zh-CN"/>
        </w:rPr>
        <w:t>7</w:t>
      </w:r>
      <w:r>
        <w:rPr>
          <w:rFonts w:hint="eastAsia" w:cs="宋体" w:asciiTheme="minorEastAsia" w:hAnsiTheme="minorEastAsia" w:eastAsiaTheme="minorEastAsia"/>
          <w:color w:val="auto"/>
          <w:sz w:val="24"/>
          <w:szCs w:val="24"/>
          <w:highlight w:val="none"/>
        </w:rPr>
        <w:t>.2根据</w:t>
      </w:r>
      <w:r>
        <w:rPr>
          <w:rFonts w:hint="eastAsia" w:cs="宋体" w:asciiTheme="minorEastAsia" w:hAnsiTheme="minorEastAsia" w:eastAsiaTheme="minorEastAsia"/>
          <w:color w:val="auto"/>
          <w:kern w:val="0"/>
          <w:sz w:val="24"/>
          <w:szCs w:val="24"/>
          <w:highlight w:val="none"/>
        </w:rPr>
        <w:t>《中华人民共和国政府采购法实施条例》第五十五条规定：投标人质疑、投诉应当有明确的请求和必要的证明材料。投标人投诉的事项不得超出已质疑事项的范围。</w:t>
      </w:r>
    </w:p>
    <w:p w14:paraId="52220087">
      <w:pPr>
        <w:spacing w:line="40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8</w:t>
      </w:r>
      <w:r>
        <w:rPr>
          <w:rFonts w:hint="eastAsia" w:cs="宋体" w:asciiTheme="minorEastAsia" w:hAnsiTheme="minorEastAsia" w:eastAsiaTheme="minorEastAsia"/>
          <w:b/>
          <w:bCs/>
          <w:color w:val="auto"/>
          <w:sz w:val="24"/>
          <w:szCs w:val="24"/>
          <w:highlight w:val="none"/>
        </w:rPr>
        <w:t>、发布公告的媒介</w:t>
      </w:r>
    </w:p>
    <w:p w14:paraId="29AC0FA3">
      <w:pPr>
        <w:spacing w:line="400" w:lineRule="exact"/>
        <w:ind w:firstLine="480" w:firstLineChars="200"/>
        <w:rPr>
          <w:rFonts w:cs="宋体" w:asciiTheme="minorEastAsia" w:hAnsiTheme="minorEastAsia" w:eastAsiaTheme="minorEastAsia"/>
          <w:bCs/>
          <w:color w:val="auto"/>
          <w:sz w:val="24"/>
          <w:szCs w:val="24"/>
          <w:highlight w:val="none"/>
        </w:rPr>
      </w:pPr>
      <w:r>
        <w:rPr>
          <w:rFonts w:hint="eastAsia" w:cs="宋体" w:asciiTheme="minorEastAsia" w:hAnsiTheme="minorEastAsia" w:eastAsiaTheme="minorEastAsia"/>
          <w:color w:val="auto"/>
          <w:sz w:val="24"/>
          <w:szCs w:val="24"/>
          <w:highlight w:val="none"/>
        </w:rPr>
        <w:t>与本次投标有关的公告信息同时在</w:t>
      </w:r>
      <w:r>
        <w:rPr>
          <w:rFonts w:hint="eastAsia" w:cs="宋体" w:asciiTheme="minorEastAsia" w:hAnsiTheme="minorEastAsia" w:eastAsiaTheme="minorEastAsia"/>
          <w:bCs/>
          <w:color w:val="auto"/>
          <w:sz w:val="24"/>
          <w:szCs w:val="24"/>
          <w:highlight w:val="none"/>
        </w:rPr>
        <w:t>以下</w:t>
      </w:r>
      <w:r>
        <w:rPr>
          <w:rFonts w:hint="eastAsia" w:cs="宋体" w:asciiTheme="minorEastAsia" w:hAnsiTheme="minorEastAsia" w:eastAsiaTheme="minorEastAsia"/>
          <w:color w:val="auto"/>
          <w:sz w:val="24"/>
          <w:szCs w:val="24"/>
          <w:highlight w:val="none"/>
        </w:rPr>
        <w:t>媒介</w:t>
      </w:r>
      <w:r>
        <w:rPr>
          <w:rFonts w:hint="eastAsia" w:cs="宋体" w:asciiTheme="minorEastAsia" w:hAnsiTheme="minorEastAsia" w:eastAsiaTheme="minorEastAsia"/>
          <w:bCs/>
          <w:color w:val="auto"/>
          <w:sz w:val="24"/>
          <w:szCs w:val="24"/>
          <w:highlight w:val="none"/>
        </w:rPr>
        <w:t>发布，请投标人关注。</w:t>
      </w:r>
    </w:p>
    <w:p w14:paraId="058FADE2">
      <w:pPr>
        <w:widowControl/>
        <w:spacing w:line="400" w:lineRule="exact"/>
        <w:ind w:firstLine="48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工采通电子招投标交易平台（http://www.easy-prt.com）</w:t>
      </w:r>
    </w:p>
    <w:p w14:paraId="74567167">
      <w:pPr>
        <w:widowControl/>
        <w:spacing w:line="400" w:lineRule="exact"/>
        <w:ind w:firstLine="480"/>
        <w:jc w:val="left"/>
        <w:rPr>
          <w:rFonts w:hint="eastAsia"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eastAsia="zh-CN"/>
        </w:rPr>
        <w:t>福建公安公众服务网（</w:t>
      </w:r>
      <w:r>
        <w:rPr>
          <w:rFonts w:hint="eastAsia" w:cs="宋体" w:asciiTheme="minorEastAsia" w:hAnsiTheme="minorEastAsia" w:eastAsiaTheme="minorEastAsia"/>
          <w:color w:val="auto"/>
          <w:kern w:val="0"/>
          <w:sz w:val="24"/>
          <w:szCs w:val="24"/>
          <w:highlight w:val="none"/>
        </w:rPr>
        <w:t>https://gat.fujian.gov.cn/</w:t>
      </w:r>
      <w:r>
        <w:rPr>
          <w:rFonts w:hint="eastAsia" w:cs="宋体" w:asciiTheme="minorEastAsia" w:hAnsiTheme="minorEastAsia" w:eastAsiaTheme="minorEastAsia"/>
          <w:color w:val="auto"/>
          <w:kern w:val="0"/>
          <w:sz w:val="24"/>
          <w:szCs w:val="24"/>
          <w:highlight w:val="none"/>
          <w:lang w:eastAsia="zh-CN"/>
        </w:rPr>
        <w:t>）</w:t>
      </w:r>
    </w:p>
    <w:p w14:paraId="37A8A2E6">
      <w:pPr>
        <w:spacing w:line="40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lang w:val="en-US" w:eastAsia="zh-CN"/>
        </w:rPr>
        <w:t>9</w:t>
      </w:r>
      <w:r>
        <w:rPr>
          <w:rFonts w:hint="eastAsia" w:cs="宋体" w:asciiTheme="minorEastAsia" w:hAnsiTheme="minorEastAsia" w:eastAsiaTheme="minorEastAsia"/>
          <w:b/>
          <w:bCs/>
          <w:color w:val="auto"/>
          <w:sz w:val="24"/>
          <w:szCs w:val="24"/>
          <w:highlight w:val="none"/>
        </w:rPr>
        <w:t>、联系方式</w:t>
      </w:r>
    </w:p>
    <w:p w14:paraId="1F2B17A6">
      <w:pPr>
        <w:adjustRightInd w:val="0"/>
        <w:snapToGrid w:val="0"/>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szCs w:val="24"/>
          <w:highlight w:val="none"/>
          <w:lang w:eastAsia="zh-CN"/>
        </w:rPr>
        <w:t>福建省公安厅</w:t>
      </w:r>
    </w:p>
    <w:p w14:paraId="5E237BB7">
      <w:pPr>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rPr>
        <w:t>地  址：</w:t>
      </w:r>
      <w:r>
        <w:rPr>
          <w:rFonts w:hint="eastAsia" w:ascii="宋体" w:hAnsi="宋体" w:eastAsia="宋体" w:cs="宋体"/>
          <w:sz w:val="24"/>
          <w:szCs w:val="24"/>
          <w:highlight w:val="none"/>
        </w:rPr>
        <w:t>福建省福州市鼓楼区华林路12号</w:t>
      </w:r>
    </w:p>
    <w:p w14:paraId="62770C10">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sz w:val="24"/>
          <w:szCs w:val="24"/>
          <w:highlight w:val="none"/>
        </w:rPr>
        <w:t>联系方式：萨</w:t>
      </w:r>
      <w:r>
        <w:rPr>
          <w:rFonts w:hint="eastAsia" w:ascii="宋体" w:hAnsi="宋体" w:cs="宋体"/>
          <w:sz w:val="24"/>
          <w:szCs w:val="24"/>
          <w:highlight w:val="none"/>
          <w:lang w:eastAsia="zh-CN"/>
        </w:rPr>
        <w:t>先生</w:t>
      </w:r>
      <w:r>
        <w:rPr>
          <w:rFonts w:hint="eastAsia" w:ascii="宋体" w:hAnsi="宋体" w:cs="宋体"/>
          <w:sz w:val="24"/>
          <w:szCs w:val="24"/>
          <w:highlight w:val="none"/>
        </w:rPr>
        <w:t xml:space="preserve"> 0591</w:t>
      </w:r>
      <w:r>
        <w:rPr>
          <w:rFonts w:hint="eastAsia" w:ascii="宋体" w:hAnsi="宋体" w:cs="宋体"/>
          <w:sz w:val="24"/>
          <w:szCs w:val="24"/>
          <w:highlight w:val="none"/>
          <w:lang w:val="en-US" w:eastAsia="zh-CN"/>
        </w:rPr>
        <w:t>-</w:t>
      </w:r>
      <w:r>
        <w:rPr>
          <w:rFonts w:hint="eastAsia" w:ascii="宋体" w:hAnsi="宋体" w:cs="宋体"/>
          <w:sz w:val="24"/>
          <w:szCs w:val="24"/>
          <w:highlight w:val="none"/>
        </w:rPr>
        <w:t>87093056</w:t>
      </w:r>
    </w:p>
    <w:p w14:paraId="3F413123">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招标代理机构：福建华真招标代理有限公司</w:t>
      </w:r>
    </w:p>
    <w:p w14:paraId="73836FE6">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地  址：福州市鼓楼区洪山镇洪山园路52号华润万象城（三期）S11楼3层07-13、15办公</w:t>
      </w:r>
    </w:p>
    <w:p w14:paraId="1D35BB2D">
      <w:pPr>
        <w:adjustRightInd w:val="0"/>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联系方式：</w:t>
      </w:r>
      <w:r>
        <w:rPr>
          <w:rFonts w:hint="eastAsia" w:ascii="宋体" w:hAnsi="宋体" w:cs="宋体"/>
          <w:color w:val="auto"/>
          <w:sz w:val="24"/>
          <w:highlight w:val="none"/>
          <w:lang w:eastAsia="zh-CN"/>
        </w:rPr>
        <w:t>张潇灵</w:t>
      </w:r>
      <w:r>
        <w:rPr>
          <w:rFonts w:hint="eastAsia" w:ascii="宋体" w:hAnsi="宋体" w:cs="宋体"/>
          <w:color w:val="auto"/>
          <w:sz w:val="24"/>
          <w:highlight w:val="none"/>
        </w:rPr>
        <w:t>、</w:t>
      </w:r>
      <w:r>
        <w:rPr>
          <w:rFonts w:hint="eastAsia" w:ascii="宋体" w:hAnsi="宋体" w:cs="宋体"/>
          <w:color w:val="auto"/>
          <w:sz w:val="24"/>
          <w:highlight w:val="none"/>
          <w:lang w:eastAsia="zh-CN"/>
        </w:rPr>
        <w:t>陈真</w:t>
      </w:r>
      <w:r>
        <w:rPr>
          <w:rFonts w:hint="eastAsia" w:ascii="宋体" w:hAnsi="宋体" w:cs="宋体"/>
          <w:color w:val="auto"/>
          <w:sz w:val="24"/>
          <w:highlight w:val="none"/>
        </w:rPr>
        <w:t>、</w:t>
      </w:r>
      <w:r>
        <w:rPr>
          <w:rFonts w:hint="eastAsia" w:ascii="宋体" w:hAnsi="宋体" w:cs="宋体"/>
          <w:color w:val="auto"/>
          <w:sz w:val="24"/>
          <w:highlight w:val="none"/>
          <w:lang w:eastAsia="zh-CN"/>
        </w:rPr>
        <w:t>陈祥敏</w:t>
      </w:r>
      <w:r>
        <w:rPr>
          <w:rFonts w:hint="eastAsia" w:ascii="宋体" w:hAnsi="宋体" w:cs="宋体"/>
          <w:color w:val="auto"/>
          <w:sz w:val="24"/>
          <w:highlight w:val="none"/>
        </w:rPr>
        <w:t xml:space="preserve"> 0591-38165630-4</w:t>
      </w:r>
    </w:p>
    <w:p w14:paraId="522575C7">
      <w:pPr>
        <w:adjustRightInd w:val="0"/>
        <w:snapToGrid w:val="0"/>
        <w:spacing w:line="400" w:lineRule="exact"/>
        <w:ind w:firstLine="482" w:firstLineChars="200"/>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1</w:t>
      </w:r>
      <w:r>
        <w:rPr>
          <w:rFonts w:hint="eastAsia" w:cs="宋体" w:asciiTheme="minorEastAsia" w:hAnsiTheme="minorEastAsia" w:eastAsiaTheme="minorEastAsia"/>
          <w:b/>
          <w:color w:val="auto"/>
          <w:sz w:val="24"/>
          <w:szCs w:val="24"/>
          <w:highlight w:val="none"/>
          <w:lang w:val="en-US" w:eastAsia="zh-CN"/>
        </w:rPr>
        <w:t>0</w:t>
      </w:r>
      <w:r>
        <w:rPr>
          <w:rFonts w:hint="eastAsia" w:cs="宋体" w:asciiTheme="minorEastAsia" w:hAnsiTheme="minorEastAsia" w:eastAsiaTheme="minorEastAsia"/>
          <w:b/>
          <w:color w:val="auto"/>
          <w:sz w:val="24"/>
          <w:szCs w:val="24"/>
          <w:highlight w:val="none"/>
        </w:rPr>
        <w:t>、账户信息</w:t>
      </w:r>
    </w:p>
    <w:tbl>
      <w:tblPr>
        <w:tblStyle w:val="5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281"/>
        <w:gridCol w:w="8681"/>
      </w:tblGrid>
      <w:tr w14:paraId="391BC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vAlign w:val="center"/>
          </w:tcPr>
          <w:p w14:paraId="6E6D77C3">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招标代理服务费缴交账户</w:t>
            </w:r>
          </w:p>
        </w:tc>
      </w:tr>
      <w:tr w14:paraId="335D33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53DEC2E3">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开户行</w:t>
            </w:r>
          </w:p>
        </w:tc>
        <w:tc>
          <w:tcPr>
            <w:tcW w:w="4357" w:type="pct"/>
            <w:vAlign w:val="center"/>
          </w:tcPr>
          <w:p w14:paraId="411BB020">
            <w:pPr>
              <w:snapToGrid w:val="0"/>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招商银行股份有限公司福州仓山支行</w:t>
            </w:r>
          </w:p>
        </w:tc>
      </w:tr>
      <w:tr w14:paraId="5C438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7C6D50A1">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账号</w:t>
            </w:r>
          </w:p>
        </w:tc>
        <w:tc>
          <w:tcPr>
            <w:tcW w:w="4357" w:type="pct"/>
            <w:vAlign w:val="center"/>
          </w:tcPr>
          <w:p w14:paraId="549104CE">
            <w:pPr>
              <w:snapToGrid w:val="0"/>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5919 0615 1310 806</w:t>
            </w:r>
          </w:p>
        </w:tc>
      </w:tr>
      <w:tr w14:paraId="60C76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136FE22B">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开户名</w:t>
            </w:r>
          </w:p>
        </w:tc>
        <w:tc>
          <w:tcPr>
            <w:tcW w:w="4357" w:type="pct"/>
            <w:vAlign w:val="center"/>
          </w:tcPr>
          <w:p w14:paraId="3BB501C8">
            <w:pPr>
              <w:snapToGrid w:val="0"/>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福建华真招标代理有限公司</w:t>
            </w:r>
          </w:p>
        </w:tc>
      </w:tr>
      <w:tr w14:paraId="2ECE8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5000" w:type="pct"/>
            <w:gridSpan w:val="2"/>
            <w:vAlign w:val="center"/>
          </w:tcPr>
          <w:p w14:paraId="4BDC28DF">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保证金账户</w:t>
            </w:r>
          </w:p>
        </w:tc>
      </w:tr>
      <w:tr w14:paraId="37098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74A5D146">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开户行</w:t>
            </w:r>
          </w:p>
        </w:tc>
        <w:tc>
          <w:tcPr>
            <w:tcW w:w="4357" w:type="pct"/>
            <w:vAlign w:val="center"/>
          </w:tcPr>
          <w:p w14:paraId="45B1AA26">
            <w:pPr>
              <w:snapToGrid w:val="0"/>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兴业银行福州总行大厦营业部</w:t>
            </w:r>
          </w:p>
        </w:tc>
      </w:tr>
      <w:tr w14:paraId="7FE8F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70614266">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账号</w:t>
            </w:r>
          </w:p>
        </w:tc>
        <w:tc>
          <w:tcPr>
            <w:tcW w:w="4357" w:type="pct"/>
            <w:vAlign w:val="center"/>
          </w:tcPr>
          <w:p w14:paraId="0976C3E5">
            <w:pPr>
              <w:snapToGrid w:val="0"/>
              <w:spacing w:line="400" w:lineRule="exact"/>
              <w:jc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117010100100452450</w:t>
            </w:r>
          </w:p>
        </w:tc>
      </w:tr>
      <w:tr w14:paraId="7844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3" w:type="pct"/>
            <w:vAlign w:val="center"/>
          </w:tcPr>
          <w:p w14:paraId="6B217464">
            <w:pPr>
              <w:snapToGrid w:val="0"/>
              <w:spacing w:line="400" w:lineRule="exact"/>
              <w:jc w:val="center"/>
              <w:rPr>
                <w:rFonts w:cs="宋体" w:asciiTheme="minorEastAsia" w:hAnsiTheme="minorEastAsia" w:eastAsiaTheme="minorEastAsia"/>
                <w:b/>
                <w:color w:val="auto"/>
                <w:sz w:val="24"/>
                <w:szCs w:val="24"/>
                <w:highlight w:val="none"/>
              </w:rPr>
            </w:pPr>
            <w:r>
              <w:rPr>
                <w:rFonts w:hint="eastAsia" w:cs="宋体" w:asciiTheme="minorEastAsia" w:hAnsiTheme="minorEastAsia" w:eastAsiaTheme="minorEastAsia"/>
                <w:b/>
                <w:color w:val="auto"/>
                <w:sz w:val="24"/>
                <w:szCs w:val="24"/>
                <w:highlight w:val="none"/>
              </w:rPr>
              <w:t>开户名</w:t>
            </w:r>
          </w:p>
        </w:tc>
        <w:tc>
          <w:tcPr>
            <w:tcW w:w="4357" w:type="pct"/>
            <w:vAlign w:val="center"/>
          </w:tcPr>
          <w:p w14:paraId="142525FF">
            <w:pPr>
              <w:snapToGrid w:val="0"/>
              <w:spacing w:line="40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福建华真招标代理有限公司</w:t>
            </w:r>
          </w:p>
        </w:tc>
      </w:tr>
      <w:tr w14:paraId="09DD9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jc w:val="center"/>
        </w:trPr>
        <w:tc>
          <w:tcPr>
            <w:tcW w:w="5000" w:type="pct"/>
            <w:gridSpan w:val="2"/>
            <w:vAlign w:val="center"/>
          </w:tcPr>
          <w:p w14:paraId="41424A46">
            <w:pPr>
              <w:snapToGrid w:val="0"/>
              <w:spacing w:line="400" w:lineRule="exact"/>
              <w:ind w:firstLine="458" w:firstLineChars="200"/>
              <w:rPr>
                <w:rFonts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注：</w:t>
            </w:r>
          </w:p>
          <w:p w14:paraId="7886BEBA">
            <w:pPr>
              <w:snapToGrid w:val="0"/>
              <w:spacing w:line="400" w:lineRule="exact"/>
              <w:ind w:firstLine="458" w:firstLineChars="200"/>
              <w:rPr>
                <w:rFonts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1、投标人认真审查清楚相应账号，投标保证金缴错账号而产生的一切后果由其自行承担。</w:t>
            </w:r>
          </w:p>
          <w:p w14:paraId="7085413A">
            <w:pPr>
              <w:snapToGrid w:val="0"/>
              <w:spacing w:line="400" w:lineRule="exact"/>
              <w:ind w:firstLine="458" w:firstLineChars="200"/>
              <w:rPr>
                <w:rFonts w:asciiTheme="minorEastAsia" w:hAnsiTheme="minorEastAsia" w:eastAsiaTheme="minorEastAsia" w:cs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2、转账单或电汇单上需注明“</w:t>
            </w:r>
            <w:r>
              <w:rPr>
                <w:rFonts w:hint="eastAsia" w:asciiTheme="minorEastAsia" w:hAnsiTheme="minorEastAsia" w:eastAsiaTheme="minorEastAsia" w:cstheme="minorEastAsia"/>
                <w:b/>
                <w:color w:val="auto"/>
                <w:spacing w:val="-6"/>
                <w:sz w:val="24"/>
                <w:szCs w:val="24"/>
                <w:highlight w:val="none"/>
                <w:lang w:eastAsia="zh-CN"/>
              </w:rPr>
              <w:t>FJHZ-YQ-2026125</w:t>
            </w:r>
            <w:r>
              <w:rPr>
                <w:rFonts w:hint="eastAsia" w:asciiTheme="minorEastAsia" w:hAnsiTheme="minorEastAsia" w:eastAsiaTheme="minorEastAsia" w:cstheme="minorEastAsia"/>
                <w:b/>
                <w:color w:val="auto"/>
                <w:spacing w:val="-6"/>
                <w:sz w:val="24"/>
                <w:szCs w:val="24"/>
                <w:highlight w:val="none"/>
              </w:rPr>
              <w:t>投标保证金”。</w:t>
            </w:r>
          </w:p>
          <w:p w14:paraId="7E745B7B">
            <w:pPr>
              <w:snapToGrid w:val="0"/>
              <w:spacing w:line="400" w:lineRule="exact"/>
              <w:ind w:firstLine="458" w:firstLineChars="200"/>
              <w:rPr>
                <w:rFonts w:cs="宋体" w:asciiTheme="minorEastAsia" w:hAnsiTheme="minorEastAsia" w:eastAsiaTheme="minorEastAsia"/>
                <w:b/>
                <w:color w:val="auto"/>
                <w:spacing w:val="-6"/>
                <w:sz w:val="24"/>
                <w:szCs w:val="24"/>
                <w:highlight w:val="none"/>
              </w:rPr>
            </w:pPr>
            <w:r>
              <w:rPr>
                <w:rFonts w:hint="eastAsia" w:asciiTheme="minorEastAsia" w:hAnsiTheme="minorEastAsia" w:eastAsiaTheme="minorEastAsia" w:cstheme="minorEastAsia"/>
                <w:b/>
                <w:color w:val="auto"/>
                <w:spacing w:val="-6"/>
                <w:sz w:val="24"/>
                <w:szCs w:val="24"/>
                <w:highlight w:val="none"/>
              </w:rPr>
              <w:t>3、 投标人若需办理相关投标保证金手续，自行登录我司网站（http://fjhzzb.com/）“下载专区”点击下载，按要求填写盖章后原件送至我司。</w:t>
            </w:r>
          </w:p>
        </w:tc>
      </w:tr>
    </w:tbl>
    <w:p w14:paraId="713D87E3">
      <w:pPr>
        <w:adjustRightInd w:val="0"/>
        <w:snapToGrid w:val="0"/>
        <w:spacing w:line="40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注：未中标投标人的投标保证金退还时间为《中标通知书》发出后</w:t>
      </w:r>
      <w:r>
        <w:rPr>
          <w:rFonts w:cs="宋体" w:asciiTheme="minorEastAsia" w:hAnsiTheme="minorEastAsia" w:eastAsiaTheme="minorEastAsia"/>
          <w:b/>
          <w:bCs/>
          <w:color w:val="auto"/>
          <w:sz w:val="24"/>
          <w:szCs w:val="24"/>
          <w:highlight w:val="none"/>
        </w:rPr>
        <w:t>5</w:t>
      </w:r>
      <w:r>
        <w:rPr>
          <w:rFonts w:hint="eastAsia" w:cs="宋体" w:asciiTheme="minorEastAsia" w:hAnsiTheme="minorEastAsia" w:eastAsiaTheme="minorEastAsia"/>
          <w:b/>
          <w:bCs/>
          <w:color w:val="auto"/>
          <w:sz w:val="24"/>
          <w:szCs w:val="24"/>
          <w:highlight w:val="none"/>
        </w:rPr>
        <w:t>个工作日内，未中标投标人应向福建华真招标代理有限公司提供《退回保证金申请函》及开户许可证复印件并加盖公章，办理退还投标保证金手续，《退回保证金申请函》上必须提供与存入保证金时相同的银行账号和开户行；中标人签订采购合同后在</w:t>
      </w:r>
      <w:r>
        <w:rPr>
          <w:rFonts w:cs="宋体" w:asciiTheme="minorEastAsia" w:hAnsiTheme="minorEastAsia" w:eastAsiaTheme="minorEastAsia"/>
          <w:b/>
          <w:bCs/>
          <w:color w:val="auto"/>
          <w:sz w:val="24"/>
          <w:szCs w:val="24"/>
          <w:highlight w:val="none"/>
        </w:rPr>
        <w:t>5</w:t>
      </w:r>
      <w:r>
        <w:rPr>
          <w:rFonts w:hint="eastAsia" w:cs="宋体" w:asciiTheme="minorEastAsia" w:hAnsiTheme="minorEastAsia" w:eastAsiaTheme="minorEastAsia"/>
          <w:b/>
          <w:bCs/>
          <w:color w:val="auto"/>
          <w:sz w:val="24"/>
          <w:szCs w:val="24"/>
          <w:highlight w:val="none"/>
        </w:rPr>
        <w:t>个工作日内，持</w:t>
      </w:r>
      <w:r>
        <w:rPr>
          <w:rFonts w:hint="eastAsia" w:cs="宋体" w:asciiTheme="minorEastAsia" w:hAnsiTheme="minorEastAsia" w:eastAsiaTheme="minorEastAsia"/>
          <w:b/>
          <w:color w:val="auto"/>
          <w:sz w:val="24"/>
          <w:szCs w:val="24"/>
          <w:highlight w:val="none"/>
        </w:rPr>
        <w:t>采购合同（原件或复印件加盖中标人公章）、《退回保证金申请函》及开户许可证复印件并加盖公章</w:t>
      </w:r>
      <w:r>
        <w:rPr>
          <w:rFonts w:hint="eastAsia" w:cs="宋体" w:asciiTheme="minorEastAsia" w:hAnsiTheme="minorEastAsia" w:eastAsiaTheme="minorEastAsia"/>
          <w:b/>
          <w:bCs/>
          <w:color w:val="auto"/>
          <w:sz w:val="24"/>
          <w:szCs w:val="24"/>
          <w:highlight w:val="none"/>
        </w:rPr>
        <w:t>，到福建华真招标代理有限公司退还保证金手续。退回保证金专用邮箱：3621577571@qq.com。</w:t>
      </w:r>
    </w:p>
    <w:p w14:paraId="6B4490E2">
      <w:pPr>
        <w:widowControl/>
        <w:jc w:val="left"/>
        <w:rPr>
          <w:rFonts w:cs="宋体" w:asciiTheme="minorEastAsia" w:hAnsiTheme="minorEastAsia" w:eastAsiaTheme="minorEastAsia"/>
          <w:b/>
          <w:bCs/>
          <w:color w:val="auto"/>
          <w:sz w:val="24"/>
          <w:szCs w:val="24"/>
          <w:highlight w:val="none"/>
        </w:rPr>
      </w:pPr>
    </w:p>
    <w:p w14:paraId="01F2F4CE">
      <w:pPr>
        <w:spacing w:line="360" w:lineRule="auto"/>
        <w:jc w:val="center"/>
        <w:rPr>
          <w:rFonts w:cs="宋体" w:asciiTheme="minorEastAsia" w:hAnsiTheme="minorEastAsia" w:eastAsiaTheme="minorEastAsia"/>
          <w:b/>
          <w:bCs/>
          <w:color w:val="auto"/>
          <w:sz w:val="28"/>
          <w:highlight w:val="none"/>
        </w:rPr>
      </w:pPr>
      <w:r>
        <w:rPr>
          <w:rFonts w:hint="eastAsia" w:cs="宋体" w:asciiTheme="minorEastAsia" w:hAnsiTheme="minorEastAsia" w:eastAsiaTheme="minorEastAsia"/>
          <w:b/>
          <w:bCs/>
          <w:color w:val="auto"/>
          <w:sz w:val="28"/>
          <w:szCs w:val="24"/>
          <w:highlight w:val="none"/>
        </w:rPr>
        <w:t>招标项目</w:t>
      </w:r>
      <w:r>
        <w:rPr>
          <w:rFonts w:hint="eastAsia" w:cs="宋体" w:asciiTheme="minorEastAsia" w:hAnsiTheme="minorEastAsia" w:eastAsiaTheme="minorEastAsia"/>
          <w:b/>
          <w:bCs/>
          <w:color w:val="auto"/>
          <w:sz w:val="28"/>
          <w:highlight w:val="none"/>
        </w:rPr>
        <w:t>一览表</w:t>
      </w:r>
    </w:p>
    <w:p w14:paraId="4BFFAAA2">
      <w:pPr>
        <w:spacing w:line="460" w:lineRule="exact"/>
        <w:jc w:val="righ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货币单位：人民币元</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660"/>
        <w:gridCol w:w="2810"/>
        <w:gridCol w:w="1198"/>
        <w:gridCol w:w="1295"/>
        <w:gridCol w:w="1056"/>
      </w:tblGrid>
      <w:tr w14:paraId="1060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 w:type="pct"/>
            <w:vAlign w:val="center"/>
          </w:tcPr>
          <w:p w14:paraId="28061DBC">
            <w:pPr>
              <w:overflowPunct w:val="0"/>
              <w:autoSpaceDE w:val="0"/>
              <w:autoSpaceDN w:val="0"/>
              <w:adjustRightInd w:val="0"/>
              <w:spacing w:line="460" w:lineRule="exact"/>
              <w:jc w:val="center"/>
              <w:textAlignment w:val="baseline"/>
              <w:rPr>
                <w:rFonts w:cs="宋体" w:asciiTheme="minorEastAsia" w:hAnsiTheme="minorEastAsia" w:eastAsiaTheme="minorEastAsia"/>
                <w:color w:val="auto"/>
                <w:kern w:val="28"/>
                <w:sz w:val="24"/>
                <w:szCs w:val="24"/>
                <w:highlight w:val="none"/>
              </w:rPr>
            </w:pPr>
            <w:r>
              <w:rPr>
                <w:rFonts w:hint="eastAsia" w:cs="宋体" w:asciiTheme="minorEastAsia" w:hAnsiTheme="minorEastAsia" w:eastAsiaTheme="minorEastAsia"/>
                <w:color w:val="auto"/>
                <w:kern w:val="28"/>
                <w:sz w:val="24"/>
                <w:szCs w:val="24"/>
                <w:highlight w:val="none"/>
              </w:rPr>
              <w:t>合同包</w:t>
            </w:r>
          </w:p>
        </w:tc>
        <w:tc>
          <w:tcPr>
            <w:tcW w:w="1335" w:type="pct"/>
            <w:vAlign w:val="center"/>
          </w:tcPr>
          <w:p w14:paraId="6E79E757">
            <w:pPr>
              <w:overflowPunct w:val="0"/>
              <w:autoSpaceDE w:val="0"/>
              <w:autoSpaceDN w:val="0"/>
              <w:adjustRightInd w:val="0"/>
              <w:spacing w:line="460" w:lineRule="exact"/>
              <w:jc w:val="center"/>
              <w:textAlignment w:val="baseline"/>
              <w:rPr>
                <w:rFonts w:cs="宋体" w:asciiTheme="minorEastAsia" w:hAnsiTheme="minorEastAsia" w:eastAsiaTheme="minorEastAsia"/>
                <w:color w:val="auto"/>
                <w:kern w:val="28"/>
                <w:sz w:val="24"/>
                <w:szCs w:val="24"/>
                <w:highlight w:val="none"/>
              </w:rPr>
            </w:pPr>
            <w:r>
              <w:rPr>
                <w:rFonts w:hint="eastAsia" w:cs="宋体" w:asciiTheme="minorEastAsia" w:hAnsiTheme="minorEastAsia" w:eastAsiaTheme="minorEastAsia"/>
                <w:color w:val="auto"/>
                <w:kern w:val="28"/>
                <w:sz w:val="24"/>
                <w:szCs w:val="24"/>
                <w:highlight w:val="none"/>
              </w:rPr>
              <w:t>项目名称</w:t>
            </w:r>
          </w:p>
        </w:tc>
        <w:tc>
          <w:tcPr>
            <w:tcW w:w="1410" w:type="pct"/>
            <w:vAlign w:val="center"/>
          </w:tcPr>
          <w:p w14:paraId="66241786">
            <w:pPr>
              <w:spacing w:line="460" w:lineRule="exact"/>
              <w:jc w:val="center"/>
              <w:rPr>
                <w:rFonts w:cs="宋体" w:asciiTheme="minorEastAsia" w:hAnsiTheme="minorEastAsia" w:eastAsiaTheme="minorEastAsia"/>
                <w:color w:val="auto"/>
                <w:kern w:val="28"/>
                <w:sz w:val="24"/>
                <w:szCs w:val="24"/>
                <w:highlight w:val="none"/>
              </w:rPr>
            </w:pPr>
            <w:r>
              <w:rPr>
                <w:rFonts w:hint="eastAsia" w:cs="宋体" w:asciiTheme="minorEastAsia" w:hAnsiTheme="minorEastAsia" w:eastAsiaTheme="minorEastAsia"/>
                <w:color w:val="auto"/>
                <w:kern w:val="28"/>
                <w:sz w:val="24"/>
                <w:szCs w:val="24"/>
                <w:highlight w:val="none"/>
              </w:rPr>
              <w:t>技术参数内容</w:t>
            </w:r>
          </w:p>
        </w:tc>
        <w:tc>
          <w:tcPr>
            <w:tcW w:w="601" w:type="pct"/>
            <w:vAlign w:val="center"/>
          </w:tcPr>
          <w:p w14:paraId="78A9AB1A">
            <w:pPr>
              <w:spacing w:line="46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服务期限</w:t>
            </w:r>
          </w:p>
        </w:tc>
        <w:tc>
          <w:tcPr>
            <w:tcW w:w="650" w:type="pct"/>
            <w:vAlign w:val="center"/>
          </w:tcPr>
          <w:p w14:paraId="536F9F00">
            <w:pPr>
              <w:spacing w:line="46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w:t>
            </w:r>
          </w:p>
        </w:tc>
        <w:tc>
          <w:tcPr>
            <w:tcW w:w="530" w:type="pct"/>
            <w:vAlign w:val="center"/>
          </w:tcPr>
          <w:p w14:paraId="1D9A9DC5">
            <w:pPr>
              <w:spacing w:line="460" w:lineRule="exact"/>
              <w:jc w:val="center"/>
              <w:rPr>
                <w:rFonts w:cs="Courier New" w:asciiTheme="minorEastAsia" w:hAnsiTheme="minorEastAsia" w:eastAsiaTheme="minorEastAsia"/>
                <w:bCs/>
                <w:color w:val="auto"/>
                <w:kern w:val="0"/>
                <w:sz w:val="24"/>
                <w:highlight w:val="none"/>
              </w:rPr>
            </w:pPr>
            <w:r>
              <w:rPr>
                <w:rFonts w:hint="eastAsia" w:asciiTheme="minorEastAsia" w:hAnsiTheme="minorEastAsia" w:eastAsiaTheme="minorEastAsia"/>
                <w:color w:val="auto"/>
                <w:sz w:val="24"/>
                <w:highlight w:val="none"/>
              </w:rPr>
              <w:t>投标保证金</w:t>
            </w:r>
          </w:p>
        </w:tc>
      </w:tr>
      <w:tr w14:paraId="0F2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73" w:type="pct"/>
            <w:vAlign w:val="center"/>
          </w:tcPr>
          <w:p w14:paraId="74962BBB">
            <w:pPr>
              <w:spacing w:line="460" w:lineRule="exact"/>
              <w:jc w:val="center"/>
              <w:rPr>
                <w:rFonts w:cs="宋体" w:asciiTheme="minorEastAsia" w:hAnsiTheme="minorEastAsia" w:eastAsiaTheme="minorEastAsia"/>
                <w:color w:val="auto"/>
                <w:sz w:val="24"/>
                <w:szCs w:val="24"/>
                <w:highlight w:val="none"/>
              </w:rPr>
            </w:pPr>
            <w:r>
              <w:rPr>
                <w:rFonts w:cs="宋体" w:asciiTheme="minorEastAsia" w:hAnsiTheme="minorEastAsia" w:eastAsiaTheme="minorEastAsia"/>
                <w:color w:val="auto"/>
                <w:sz w:val="24"/>
                <w:szCs w:val="24"/>
                <w:highlight w:val="none"/>
              </w:rPr>
              <w:t>1</w:t>
            </w:r>
          </w:p>
        </w:tc>
        <w:tc>
          <w:tcPr>
            <w:tcW w:w="1335" w:type="pct"/>
            <w:vAlign w:val="center"/>
          </w:tcPr>
          <w:p w14:paraId="25EA1C02">
            <w:pPr>
              <w:spacing w:line="460" w:lineRule="exact"/>
              <w:jc w:val="center"/>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福建省公安厅信访安保服务项目</w:t>
            </w:r>
          </w:p>
        </w:tc>
        <w:tc>
          <w:tcPr>
            <w:tcW w:w="1410" w:type="pct"/>
            <w:vAlign w:val="center"/>
          </w:tcPr>
          <w:p w14:paraId="1196BB74">
            <w:pPr>
              <w:spacing w:line="460" w:lineRule="exact"/>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具体详见招标文件第三章“招标内容及要求”</w:t>
            </w:r>
          </w:p>
        </w:tc>
        <w:tc>
          <w:tcPr>
            <w:tcW w:w="601" w:type="pct"/>
            <w:vAlign w:val="center"/>
          </w:tcPr>
          <w:p w14:paraId="0589B527">
            <w:pPr>
              <w:pStyle w:val="417"/>
              <w:spacing w:line="360" w:lineRule="exact"/>
              <w:ind w:firstLine="0" w:firstLineChars="0"/>
              <w:jc w:val="center"/>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2年</w:t>
            </w:r>
          </w:p>
        </w:tc>
        <w:tc>
          <w:tcPr>
            <w:tcW w:w="650" w:type="pct"/>
            <w:vAlign w:val="center"/>
          </w:tcPr>
          <w:p w14:paraId="03CF0E13">
            <w:pPr>
              <w:pStyle w:val="417"/>
              <w:spacing w:line="360" w:lineRule="exact"/>
              <w:ind w:firstLine="0" w:firstLineChars="0"/>
              <w:jc w:val="center"/>
              <w:rPr>
                <w:rFonts w:cs="宋体" w:asciiTheme="minorEastAsia" w:hAnsiTheme="minorEastAsia" w:eastAsiaTheme="minorEastAsia"/>
                <w:color w:val="auto"/>
                <w:sz w:val="24"/>
                <w:szCs w:val="24"/>
                <w:highlight w:val="none"/>
              </w:rPr>
            </w:pPr>
            <w:r>
              <w:rPr>
                <w:rFonts w:hint="eastAsia" w:ascii="宋体" w:hAnsi="宋体" w:cs="宋体"/>
                <w:kern w:val="0"/>
                <w:sz w:val="24"/>
                <w:szCs w:val="24"/>
                <w:lang w:val="en-US" w:eastAsia="zh-CN"/>
              </w:rPr>
              <w:t>432000</w:t>
            </w:r>
          </w:p>
        </w:tc>
        <w:tc>
          <w:tcPr>
            <w:tcW w:w="530" w:type="pct"/>
            <w:vAlign w:val="center"/>
          </w:tcPr>
          <w:p w14:paraId="76A173B2">
            <w:pPr>
              <w:pStyle w:val="417"/>
              <w:spacing w:line="360" w:lineRule="exact"/>
              <w:ind w:firstLine="0" w:firstLineChars="0"/>
              <w:jc w:val="center"/>
              <w:rPr>
                <w:rFonts w:cs="宋体" w:asciiTheme="minorEastAsia" w:hAnsiTheme="minorEastAsia" w:eastAsiaTheme="minorEastAsia"/>
                <w:color w:val="auto"/>
                <w:sz w:val="24"/>
                <w:szCs w:val="24"/>
                <w:highlight w:val="none"/>
              </w:rPr>
            </w:pPr>
            <w:r>
              <w:rPr>
                <w:rFonts w:hint="eastAsia" w:ascii="宋体" w:hAnsi="宋体" w:cs="宋体"/>
                <w:kern w:val="0"/>
                <w:sz w:val="24"/>
                <w:szCs w:val="24"/>
                <w:lang w:val="en-US" w:eastAsia="zh-CN"/>
              </w:rPr>
              <w:t>8640</w:t>
            </w:r>
          </w:p>
        </w:tc>
      </w:tr>
    </w:tbl>
    <w:p w14:paraId="598474DE">
      <w:pPr>
        <w:tabs>
          <w:tab w:val="left" w:pos="2852"/>
        </w:tabs>
        <w:adjustRightInd w:val="0"/>
        <w:snapToGrid w:val="0"/>
        <w:spacing w:line="460" w:lineRule="exact"/>
        <w:rPr>
          <w:rFonts w:cs="宋体" w:asciiTheme="minorEastAsia" w:hAnsiTheme="minorEastAsia" w:eastAsiaTheme="minorEastAsia"/>
          <w:b/>
          <w:bCs/>
          <w:color w:val="auto"/>
          <w:sz w:val="24"/>
          <w:szCs w:val="24"/>
          <w:highlight w:val="none"/>
        </w:rPr>
      </w:pPr>
    </w:p>
    <w:p w14:paraId="33696ABE">
      <w:pPr>
        <w:tabs>
          <w:tab w:val="left" w:pos="2852"/>
        </w:tabs>
        <w:adjustRightInd w:val="0"/>
        <w:snapToGrid w:val="0"/>
        <w:spacing w:line="460" w:lineRule="exac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注：</w:t>
      </w:r>
    </w:p>
    <w:p w14:paraId="3DA24DAB">
      <w:pPr>
        <w:tabs>
          <w:tab w:val="left" w:pos="2852"/>
        </w:tabs>
        <w:adjustRightInd w:val="0"/>
        <w:snapToGrid w:val="0"/>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sz w:val="24"/>
          <w:szCs w:val="24"/>
          <w:highlight w:val="none"/>
        </w:rPr>
        <w:t>投标人须按合同包报价，对同一合同包内所有品目号内容报价时必须完整，包含本项目履约过程中的一切费用</w:t>
      </w:r>
      <w:r>
        <w:rPr>
          <w:rFonts w:hint="eastAsia" w:cs="宋体" w:asciiTheme="minorEastAsia" w:hAnsiTheme="minorEastAsia" w:eastAsiaTheme="minorEastAsia"/>
          <w:color w:val="auto"/>
          <w:sz w:val="24"/>
          <w:highlight w:val="none"/>
        </w:rPr>
        <w:t>。</w:t>
      </w:r>
    </w:p>
    <w:p w14:paraId="32C0361C">
      <w:pPr>
        <w:tabs>
          <w:tab w:val="left" w:pos="2852"/>
        </w:tabs>
        <w:adjustRightInd w:val="0"/>
        <w:snapToGrid w:val="0"/>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投标人对本招标文件中提出的技术参数及要求应在投标文件中逐项答复，说明是否能满足要求，该说明可包括图片、说明书、技术特征、功能列表等，以便评标委员会成员能对投标人所提供的产品作出准确判断和评估。</w:t>
      </w:r>
    </w:p>
    <w:p w14:paraId="5FF16947">
      <w:pPr>
        <w:tabs>
          <w:tab w:val="left" w:pos="2852"/>
        </w:tabs>
        <w:adjustRightInd w:val="0"/>
        <w:snapToGrid w:val="0"/>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3、中标人不得转包他人，若发现转包，采购人有权追究相应法律责任。</w:t>
      </w:r>
    </w:p>
    <w:p w14:paraId="0FBB6D64">
      <w:pPr>
        <w:tabs>
          <w:tab w:val="left" w:pos="2852"/>
        </w:tabs>
        <w:adjustRightInd w:val="0"/>
        <w:snapToGrid w:val="0"/>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4、投标人必须由单位负责人或单位负责人正式授权的投标人代表参加开标会，随时接受评标委员会询问，并予以解答。</w:t>
      </w:r>
    </w:p>
    <w:p w14:paraId="6DD04EE3">
      <w:pPr>
        <w:tabs>
          <w:tab w:val="left" w:pos="2852"/>
        </w:tabs>
        <w:adjustRightInd w:val="0"/>
        <w:snapToGrid w:val="0"/>
        <w:spacing w:line="460" w:lineRule="exac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5、中标人须向我司提供如下材料：</w:t>
      </w:r>
    </w:p>
    <w:p w14:paraId="305D439D">
      <w:pPr>
        <w:tabs>
          <w:tab w:val="left" w:pos="2852"/>
        </w:tabs>
        <w:adjustRightInd w:val="0"/>
        <w:snapToGrid w:val="0"/>
        <w:spacing w:line="460" w:lineRule="exact"/>
        <w:rPr>
          <w:rFonts w:cs="宋体" w:asciiTheme="minorEastAsia" w:hAnsiTheme="minorEastAsia" w:eastAsiaTheme="minorEastAsia"/>
          <w:b/>
          <w:bCs/>
          <w:color w:val="auto"/>
          <w:sz w:val="24"/>
          <w:highlight w:val="none"/>
        </w:rPr>
      </w:pPr>
      <w:r>
        <w:rPr>
          <w:rFonts w:hint="eastAsia" w:hAnsi="宋体" w:cs="宋体"/>
          <w:bCs/>
          <w:sz w:val="24"/>
          <w:szCs w:val="24"/>
        </w:rPr>
        <w:t>《政府采购合同》原件或复印件壹份</w:t>
      </w:r>
    </w:p>
    <w:p w14:paraId="68ADF6FC">
      <w:pPr>
        <w:adjustRightInd w:val="0"/>
        <w:snapToGrid w:val="0"/>
        <w:spacing w:line="360" w:lineRule="auto"/>
        <w:ind w:firstLine="482" w:firstLineChars="200"/>
        <w:rPr>
          <w:rFonts w:cs="宋体" w:asciiTheme="minorEastAsia" w:hAnsiTheme="minorEastAsia" w:eastAsiaTheme="minorEastAsia"/>
          <w:b/>
          <w:bCs/>
          <w:color w:val="auto"/>
          <w:sz w:val="24"/>
          <w:highlight w:val="none"/>
        </w:rPr>
      </w:pPr>
    </w:p>
    <w:p w14:paraId="52DF1C92">
      <w:pPr>
        <w:adjustRightInd w:val="0"/>
        <w:snapToGrid w:val="0"/>
        <w:spacing w:line="360" w:lineRule="auto"/>
        <w:ind w:firstLine="482" w:firstLineChars="200"/>
        <w:rPr>
          <w:rFonts w:cs="宋体" w:asciiTheme="minorEastAsia" w:hAnsiTheme="minorEastAsia" w:eastAsiaTheme="minorEastAsia"/>
          <w:b/>
          <w:bCs/>
          <w:color w:val="auto"/>
          <w:sz w:val="24"/>
          <w:highlight w:val="none"/>
        </w:rPr>
      </w:pPr>
    </w:p>
    <w:p w14:paraId="0A9B4BBB">
      <w:pPr>
        <w:widowControl/>
        <w:jc w:val="left"/>
        <w:rPr>
          <w:rFonts w:cs="宋体" w:asciiTheme="minorEastAsia" w:hAnsiTheme="minorEastAsia" w:eastAsiaTheme="minorEastAsia"/>
          <w:b/>
          <w:color w:val="auto"/>
          <w:sz w:val="32"/>
          <w:szCs w:val="32"/>
          <w:highlight w:val="none"/>
        </w:rPr>
      </w:pPr>
      <w:bookmarkStart w:id="3" w:name="_Toc3440"/>
      <w:bookmarkStart w:id="4" w:name="_Toc421107717"/>
      <w:r>
        <w:rPr>
          <w:rFonts w:cs="宋体" w:asciiTheme="minorEastAsia" w:hAnsiTheme="minorEastAsia" w:eastAsiaTheme="minorEastAsia"/>
          <w:b/>
          <w:color w:val="auto"/>
          <w:sz w:val="32"/>
          <w:szCs w:val="32"/>
          <w:highlight w:val="none"/>
        </w:rPr>
        <w:br w:type="page"/>
      </w:r>
    </w:p>
    <w:p w14:paraId="1C4059E7">
      <w:pPr>
        <w:tabs>
          <w:tab w:val="left" w:pos="6930"/>
        </w:tabs>
        <w:spacing w:line="360" w:lineRule="auto"/>
        <w:ind w:right="62"/>
        <w:jc w:val="center"/>
        <w:outlineLvl w:val="0"/>
        <w:rPr>
          <w:rFonts w:cs="宋体" w:asciiTheme="minorEastAsia" w:hAnsiTheme="minorEastAsia" w:eastAsiaTheme="minorEastAsia"/>
          <w:color w:val="auto"/>
          <w:sz w:val="32"/>
          <w:szCs w:val="32"/>
          <w:highlight w:val="none"/>
        </w:rPr>
      </w:pPr>
      <w:bookmarkStart w:id="5" w:name="_Toc9905"/>
      <w:r>
        <w:rPr>
          <w:rFonts w:hint="eastAsia" w:cs="宋体" w:asciiTheme="minorEastAsia" w:hAnsiTheme="minorEastAsia" w:eastAsiaTheme="minorEastAsia"/>
          <w:b/>
          <w:color w:val="auto"/>
          <w:sz w:val="32"/>
          <w:szCs w:val="32"/>
          <w:highlight w:val="none"/>
        </w:rPr>
        <w:t>第二章投标人须知</w:t>
      </w:r>
      <w:bookmarkEnd w:id="3"/>
      <w:bookmarkEnd w:id="4"/>
      <w:bookmarkEnd w:id="5"/>
    </w:p>
    <w:p w14:paraId="1460C482">
      <w:pPr>
        <w:spacing w:line="360" w:lineRule="auto"/>
        <w:jc w:val="center"/>
        <w:outlineLvl w:val="1"/>
        <w:rPr>
          <w:rFonts w:cs="宋体" w:asciiTheme="minorEastAsia" w:hAnsiTheme="minorEastAsia" w:eastAsiaTheme="minorEastAsia"/>
          <w:b/>
          <w:color w:val="auto"/>
          <w:sz w:val="28"/>
          <w:highlight w:val="none"/>
        </w:rPr>
      </w:pPr>
      <w:bookmarkStart w:id="6" w:name="_Toc12838"/>
      <w:bookmarkStart w:id="7" w:name="_Toc15529"/>
      <w:bookmarkStart w:id="8" w:name="_Toc421107718"/>
      <w:r>
        <w:rPr>
          <w:rFonts w:hint="eastAsia" w:cs="宋体" w:asciiTheme="minorEastAsia" w:hAnsiTheme="minorEastAsia" w:eastAsiaTheme="minorEastAsia"/>
          <w:b/>
          <w:color w:val="auto"/>
          <w:sz w:val="28"/>
          <w:highlight w:val="none"/>
        </w:rPr>
        <w:t>投标人须知前附表</w:t>
      </w:r>
      <w:bookmarkEnd w:id="6"/>
      <w:bookmarkEnd w:id="7"/>
      <w:bookmarkEnd w:id="8"/>
    </w:p>
    <w:p w14:paraId="785C826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本须知前附表的内容与《投标人须知》中内容如果有矛盾的话，应以本须知前附表为准。</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378"/>
      </w:tblGrid>
      <w:tr w14:paraId="760C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B9A5D5A">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项号</w:t>
            </w:r>
          </w:p>
        </w:tc>
        <w:tc>
          <w:tcPr>
            <w:tcW w:w="4707" w:type="pct"/>
            <w:vAlign w:val="center"/>
          </w:tcPr>
          <w:p w14:paraId="1A6F3F16">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编   列   内    容</w:t>
            </w:r>
          </w:p>
        </w:tc>
      </w:tr>
      <w:tr w14:paraId="7BA7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0007881">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4707" w:type="pct"/>
            <w:vAlign w:val="center"/>
          </w:tcPr>
          <w:p w14:paraId="6DF39552">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福建省公安厅信访安保服务项目</w:t>
            </w:r>
          </w:p>
          <w:p w14:paraId="62AF161D">
            <w:pPr>
              <w:pStyle w:val="30"/>
              <w:spacing w:line="400" w:lineRule="exact"/>
              <w:ind w:left="1217" w:hanging="1216" w:hangingChars="507"/>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采购人名称：</w:t>
            </w:r>
            <w:r>
              <w:rPr>
                <w:rFonts w:hint="eastAsia" w:asciiTheme="minorEastAsia" w:hAnsiTheme="minorEastAsia" w:eastAsiaTheme="minorEastAsia" w:cstheme="minorEastAsia"/>
                <w:color w:val="auto"/>
                <w:sz w:val="24"/>
                <w:szCs w:val="24"/>
                <w:highlight w:val="none"/>
                <w:lang w:eastAsia="zh-CN"/>
              </w:rPr>
              <w:t>福建省公安厅</w:t>
            </w:r>
          </w:p>
          <w:p w14:paraId="7CB4D381">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项目内容：详见《招标项目一览表》及《第三章招标内容及要求》</w:t>
            </w:r>
          </w:p>
          <w:p w14:paraId="492511D8">
            <w:pPr>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eastAsia="zh-CN"/>
              </w:rPr>
              <w:t>FJHZ-YQ-2026125</w:t>
            </w:r>
          </w:p>
        </w:tc>
      </w:tr>
      <w:tr w14:paraId="2F17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C150444">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4707" w:type="pct"/>
            <w:vAlign w:val="center"/>
          </w:tcPr>
          <w:p w14:paraId="67010FA0">
            <w:pPr>
              <w:autoSpaceDE w:val="0"/>
              <w:autoSpaceDN w:val="0"/>
              <w:adjustRightInd w:val="0"/>
              <w:snapToGrid w:val="0"/>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资格标准：</w:t>
            </w:r>
          </w:p>
          <w:p w14:paraId="404C5E05">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宋体" w:hAnsi="宋体" w:eastAsia="宋体" w:cs="宋体"/>
                <w:sz w:val="24"/>
                <w:szCs w:val="24"/>
              </w:rPr>
              <w:t>投标人为企业的，须提供有效的营业执照复印件；投标人为事业单位的，须提供有效的事业单位法人证书复印件；投标人为社会团体的，须提供有效的社会团体法人登记证书复印件；投标人为合伙企业的，须提供有效的营业执照复印件；投标人为非企业专业服务机构的，须提供有效的执业许可证等证明材料复印件；其他投标人应按照有关法律、法规和规章规定，提供有效的相应具体证照复印件。</w:t>
            </w:r>
          </w:p>
          <w:p w14:paraId="0BB513A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（2）财务状况报告：提供2</w:t>
            </w:r>
            <w:r>
              <w:rPr>
                <w:rFonts w:hint="eastAsia" w:asciiTheme="minorEastAsia" w:hAnsiTheme="minorEastAsia" w:eastAsiaTheme="minorEastAsia" w:cstheme="minorEastAsia"/>
                <w:color w:val="auto"/>
                <w:sz w:val="24"/>
                <w:szCs w:val="24"/>
                <w:highlight w:val="none"/>
                <w:lang w:val="en-US" w:eastAsia="zh-CN"/>
              </w:rPr>
              <w:t>025</w:t>
            </w:r>
            <w:r>
              <w:rPr>
                <w:rFonts w:hint="eastAsia" w:asciiTheme="minorEastAsia" w:hAnsiTheme="minorEastAsia" w:eastAsiaTheme="minorEastAsia" w:cstheme="minorEastAsia"/>
                <w:color w:val="auto"/>
                <w:sz w:val="24"/>
                <w:szCs w:val="24"/>
                <w:highlight w:val="none"/>
              </w:rPr>
              <w:t>年度的审计报告(包括资产负债表、利润表、现金流量表)；或开户行出具的资信证明（附开户许可证或基本存款账户信息）。</w:t>
            </w:r>
          </w:p>
          <w:p w14:paraId="101612B3">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（3）依法缴纳税收的相关材料：提供投标截止时间前六个月（不含投标截止时间当月）内任意一个月的依法缴纳税收的凭据。</w:t>
            </w:r>
          </w:p>
          <w:p w14:paraId="7BB83B7A">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（4）依法缴纳社会保障资金的相关材料：提供投标截止时间前六个月（不含投标截止时间当月）内任意一个月的依法缴纳社会保障资金的凭据。</w:t>
            </w:r>
          </w:p>
          <w:p w14:paraId="19CEF587">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（5）提供参加政府采购活动前3年内在经营活动中没有重大违法记录的书面声明。</w:t>
            </w:r>
          </w:p>
          <w:p w14:paraId="48A577FF">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）信用信息查询：①信用记录查询的截止时点：信用记录查询的截止时点为本项目投标截止当日。②信用记录查询渠道：信用中国（www.creditchina.gov.cn）、中国政府采购网（www.ccgp.gov.cn）。 ③信用记录的查询：由评标委员会通过上述网站查询并打印投标人的信用记录。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72BC50F">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）具有履行合同所必需设备和专业技术能力的声明函。</w:t>
            </w:r>
          </w:p>
          <w:p w14:paraId="7DDD70D8">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）本项目不允许联合体投标。</w:t>
            </w:r>
          </w:p>
          <w:p w14:paraId="1FBE2A45">
            <w:pPr>
              <w:pStyle w:val="52"/>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）投标人须具有公安部门颁发的在有效期内的《保安服务许可证》，并提供证书复印件。</w:t>
            </w:r>
          </w:p>
          <w:p w14:paraId="5ED3652D">
            <w:pPr>
              <w:autoSpaceDE w:val="0"/>
              <w:autoSpaceDN w:val="0"/>
              <w:adjustRightIn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特定条件：根据《福建省财政厅关于印发推行政府采购供应商资格承诺制指导意见的通知》（闽财购〔2024〕6号），参加本项目投标的投标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人可自行选择是否提供本承诺函，若不提供本承诺函的，应按招标文件要求提供相应的证明材料。投标人应对其承诺内容的真实性、合法性、有效性负责，不得作出虚假承诺，承诺不实的，属于提供虚假材料谋取中标、成交，依法追究相关的法律责任。</w:t>
            </w:r>
          </w:p>
          <w:p w14:paraId="1B3E2D14">
            <w:pPr>
              <w:pStyle w:val="117"/>
              <w:spacing w:line="360" w:lineRule="auto"/>
              <w:ind w:firstLine="480" w:firstLineChars="200"/>
              <w:rPr>
                <w:color w:val="auto"/>
                <w:highlight w:val="none"/>
              </w:rPr>
            </w:pPr>
            <w:r>
              <w:rPr>
                <w:rFonts w:hint="eastAsia"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lang w:val="en-US" w:eastAsia="zh-CN"/>
              </w:rPr>
              <w:t>1</w:t>
            </w:r>
            <w:r>
              <w:rPr>
                <w:rFonts w:hint="eastAsia" w:asciiTheme="minorEastAsia" w:hAnsiTheme="minorEastAsia" w:eastAsiaTheme="minorEastAsia"/>
                <w:color w:val="auto"/>
                <w:sz w:val="24"/>
                <w:szCs w:val="24"/>
                <w:highlight w:val="none"/>
              </w:rPr>
              <w:t>）①本采购包专门面向符合财政部、工信部文件（财库〔2020〕46号）规定的中、小、微型企业。投标人须提供《中小企业声明函（服务</w:t>
            </w:r>
            <w:r>
              <w:rPr>
                <w:rFonts w:hint="eastAsia" w:asciiTheme="minorEastAsia" w:hAnsiTheme="minorEastAsia" w:eastAsiaTheme="minorEastAsia"/>
                <w:color w:val="auto"/>
                <w:sz w:val="24"/>
                <w:szCs w:val="24"/>
                <w:highlight w:val="none"/>
                <w:lang w:eastAsia="zh-CN"/>
              </w:rPr>
              <w:t>、工程</w:t>
            </w:r>
            <w:r>
              <w:rPr>
                <w:rFonts w:hint="eastAsia" w:asciiTheme="minorEastAsia" w:hAnsiTheme="minorEastAsia" w:eastAsiaTheme="minorEastAsia"/>
                <w:color w:val="auto"/>
                <w:sz w:val="24"/>
                <w:szCs w:val="24"/>
                <w:highlight w:val="none"/>
              </w:rPr>
              <w:t>）》。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若招标文件中的有关条款与本条款有矛盾之处以此处为准。②监狱企业视同小型、微型企业，投标人为监狱企业的，可不提供《中小企业声明函》，但须提供由省级以上监狱管理局、戒毒管理局（含新疆生产建设兵团）出具的属于监狱企业的证明文件。③残疾人福利性单位视同小型、微型企业，投标人为残疾人福利性单位的，可不提供《中小企业声明函》，但须提供《残疾人福利性单位声明函》。※投标人应按照招标文件第五章规定提供。注：享受扶持政策获得政府采购合同的，小微企业不得将合同分包给大中型企业，中型企业不得将合同分包给大型企业。注：本采购包为服务类采购项目，采购标的对应的中小企业划分标准所属行业：租赁和商务服务业。</w:t>
            </w:r>
          </w:p>
          <w:p w14:paraId="52B7B359">
            <w:pPr>
              <w:autoSpaceDE w:val="0"/>
              <w:autoSpaceDN w:val="0"/>
              <w:adjustRightInd w:val="0"/>
              <w:snapToGrid w:val="0"/>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注：投标人必须提交以上文件或证明的复印件，所有文件应是最新（有效）、清晰并加盖投标人公章，复印件应注明“与原件一致”，否则资格审查不合格。</w:t>
            </w:r>
          </w:p>
        </w:tc>
      </w:tr>
      <w:tr w14:paraId="69A9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77B9BA49">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4707" w:type="pct"/>
            <w:vAlign w:val="center"/>
          </w:tcPr>
          <w:p w14:paraId="30A69104">
            <w:pPr>
              <w:autoSpaceDE w:val="0"/>
              <w:autoSpaceDN w:val="0"/>
              <w:adjustRightInd w:val="0"/>
              <w:snapToGrid w:val="0"/>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投标文件有效期：投标文件提交截止时间起</w:t>
            </w:r>
            <w:r>
              <w:rPr>
                <w:rFonts w:hint="eastAsia" w:asciiTheme="minorEastAsia" w:hAnsiTheme="minorEastAsia" w:eastAsiaTheme="minorEastAsia" w:cstheme="minorEastAsia"/>
                <w:color w:val="auto"/>
                <w:sz w:val="24"/>
                <w:szCs w:val="24"/>
                <w:highlight w:val="none"/>
                <w:u w:val="single"/>
              </w:rPr>
              <w:t>90</w:t>
            </w:r>
            <w:r>
              <w:rPr>
                <w:rFonts w:hint="eastAsia" w:asciiTheme="minorEastAsia" w:hAnsiTheme="minorEastAsia" w:eastAsiaTheme="minorEastAsia" w:cstheme="minorEastAsia"/>
                <w:color w:val="auto"/>
                <w:sz w:val="24"/>
                <w:szCs w:val="24"/>
                <w:highlight w:val="none"/>
              </w:rPr>
              <w:t>个日历日。</w:t>
            </w:r>
          </w:p>
          <w:p w14:paraId="010FE3CB">
            <w:pPr>
              <w:autoSpaceDE w:val="0"/>
              <w:autoSpaceDN w:val="0"/>
              <w:adjustRightInd w:val="0"/>
              <w:snapToGrid w:val="0"/>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有效期不足将导致其投标文件被拒绝。</w:t>
            </w:r>
          </w:p>
        </w:tc>
      </w:tr>
      <w:tr w14:paraId="1BB75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8FEBC24">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4707" w:type="pct"/>
            <w:vAlign w:val="center"/>
          </w:tcPr>
          <w:p w14:paraId="41AE54A1">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投标文件提交地址：福州市鼓楼区洪山镇洪山园路52号华润万象城（三期）S11楼3层07-13、15办公</w:t>
            </w:r>
          </w:p>
          <w:p w14:paraId="799B941E">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接收人：福建华真招标代理有限公司工作人员</w:t>
            </w:r>
          </w:p>
          <w:p w14:paraId="210394A9">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投标文件提交截止时间：以招标公告时间为准</w:t>
            </w:r>
          </w:p>
        </w:tc>
      </w:tr>
      <w:tr w14:paraId="54D2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C2277D0">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4707" w:type="pct"/>
            <w:vAlign w:val="center"/>
          </w:tcPr>
          <w:p w14:paraId="6AE4BE97">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保证金缴交：</w:t>
            </w:r>
          </w:p>
          <w:p w14:paraId="1126ECCF">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保证金须以公司名义，以银行转账或电汇等非现金形式提交（不直接接受现金、现金存款方式）。保证金转账单或电汇单上必须注明所投标的项目编号，并在投标文件中附上复印清晰的保证金转账单或电汇底单复印件。</w:t>
            </w:r>
          </w:p>
          <w:p w14:paraId="481A1FA2">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(2)保证金：</w:t>
            </w:r>
            <w:r>
              <w:rPr>
                <w:rFonts w:hint="eastAsia" w:ascii="宋体" w:hAnsi="宋体" w:cs="宋体"/>
                <w:b/>
                <w:bCs/>
                <w:sz w:val="24"/>
                <w:szCs w:val="24"/>
              </w:rPr>
              <w:t>￥</w:t>
            </w:r>
            <w:r>
              <w:rPr>
                <w:rFonts w:hint="eastAsia" w:ascii="宋体" w:hAnsi="宋体" w:cs="宋体"/>
                <w:b/>
                <w:bCs/>
                <w:sz w:val="24"/>
                <w:szCs w:val="24"/>
                <w:lang w:val="en-US" w:eastAsia="zh-CN"/>
              </w:rPr>
              <w:t>8640</w:t>
            </w:r>
            <w:r>
              <w:rPr>
                <w:rFonts w:hint="eastAsia" w:ascii="宋体" w:hAnsi="宋体" w:cs="宋体"/>
                <w:b/>
                <w:bCs/>
                <w:sz w:val="24"/>
                <w:szCs w:val="24"/>
              </w:rPr>
              <w:t>元（大写：</w:t>
            </w:r>
            <w:r>
              <w:rPr>
                <w:rFonts w:hint="eastAsia" w:ascii="宋体" w:hAnsi="宋体" w:cs="宋体"/>
                <w:b/>
                <w:bCs/>
                <w:sz w:val="24"/>
                <w:szCs w:val="24"/>
                <w:lang w:eastAsia="zh-CN"/>
              </w:rPr>
              <w:t>捌仟陆佰肆拾元整）</w:t>
            </w:r>
            <w:r>
              <w:rPr>
                <w:rFonts w:hint="eastAsia" w:asciiTheme="minorEastAsia" w:hAnsiTheme="minorEastAsia" w:eastAsiaTheme="minorEastAsia" w:cstheme="minorEastAsia"/>
                <w:color w:val="auto"/>
                <w:sz w:val="24"/>
                <w:szCs w:val="24"/>
                <w:highlight w:val="none"/>
              </w:rPr>
              <w:t>；投标人应在投标截止时间前一工作日下午17:00之前到达本招标文件所提供的指定账户上。</w:t>
            </w:r>
          </w:p>
          <w:p w14:paraId="3D786414">
            <w:pPr>
              <w:spacing w:line="40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(3)若汇款人名称与投标人不一致或未在规定时间内到达指定账户或采用现金、现金存款方式缴交的，投标文件将被拒收，并将其原封不动地退回投标人。</w:t>
            </w:r>
          </w:p>
        </w:tc>
      </w:tr>
      <w:tr w14:paraId="39FF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489EB1D3">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4707" w:type="pct"/>
            <w:vAlign w:val="center"/>
          </w:tcPr>
          <w:p w14:paraId="486D858E">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评标标准和方法：本项目</w:t>
            </w:r>
            <w:r>
              <w:rPr>
                <w:rFonts w:hint="eastAsia" w:asciiTheme="minorEastAsia" w:hAnsiTheme="minorEastAsia" w:eastAsiaTheme="minorEastAsia" w:cstheme="minorEastAsia"/>
                <w:b/>
                <w:bCs/>
                <w:color w:val="auto"/>
                <w:sz w:val="24"/>
                <w:szCs w:val="24"/>
                <w:highlight w:val="none"/>
              </w:rPr>
              <w:t>采用综合评分法推荐一名中标候选人，具体详见附件A</w:t>
            </w:r>
          </w:p>
        </w:tc>
      </w:tr>
      <w:tr w14:paraId="63EE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2EC0325F">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4707" w:type="pct"/>
            <w:vAlign w:val="center"/>
          </w:tcPr>
          <w:p w14:paraId="7EF0F99F">
            <w:pPr>
              <w:spacing w:line="400" w:lineRule="exact"/>
              <w:ind w:firstLine="468" w:firstLineChars="195"/>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对投标人所提供的文件仅负审核的责任。即使投标人所提交的文件通过了审核，在投标过程中乃至确定中标人后，如发现投标人所提供的文件不合法或不真实，仍可废除中标人中标资格并追究中标人的法律责任。采购人有权在投标过程中或签订合同之前（或合同履行过程中）对招标文件中的各种资料、说明、承诺的真实性进行核查，投标人应无条件配合采购人的核查工作，不得托词拒绝核查或隐瞒真实情况。</w:t>
            </w:r>
          </w:p>
        </w:tc>
      </w:tr>
      <w:tr w14:paraId="2303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011F3065">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4707" w:type="pct"/>
            <w:vAlign w:val="center"/>
          </w:tcPr>
          <w:p w14:paraId="5BC76AA0">
            <w:pPr>
              <w:spacing w:line="400" w:lineRule="exact"/>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本项目预算价为合同包一：</w:t>
            </w:r>
            <w:r>
              <w:rPr>
                <w:rFonts w:hint="eastAsia" w:ascii="宋体" w:hAnsi="宋体" w:cs="宋体"/>
                <w:b/>
                <w:bCs/>
                <w:sz w:val="24"/>
                <w:szCs w:val="24"/>
              </w:rPr>
              <w:t>￥432000元</w:t>
            </w:r>
            <w:r>
              <w:rPr>
                <w:rFonts w:hint="eastAsia" w:ascii="宋体" w:hAnsi="宋体" w:cs="宋体"/>
                <w:b/>
                <w:sz w:val="24"/>
                <w:szCs w:val="24"/>
              </w:rPr>
              <w:t>（</w:t>
            </w:r>
            <w:r>
              <w:rPr>
                <w:rFonts w:hint="eastAsia" w:ascii="宋体" w:hAnsi="宋体" w:cs="宋体"/>
                <w:b/>
                <w:bCs/>
                <w:sz w:val="24"/>
                <w:szCs w:val="24"/>
              </w:rPr>
              <w:t>大写：</w:t>
            </w:r>
            <w:r>
              <w:rPr>
                <w:rFonts w:hint="eastAsia" w:ascii="宋体" w:hAnsi="宋体" w:cs="宋体"/>
                <w:b/>
                <w:bCs/>
                <w:sz w:val="24"/>
                <w:szCs w:val="24"/>
                <w:lang w:eastAsia="zh-CN"/>
              </w:rPr>
              <w:t>肆拾叁万贰仟</w:t>
            </w:r>
            <w:r>
              <w:rPr>
                <w:rFonts w:hint="eastAsia" w:ascii="宋体" w:hAnsi="宋体" w:cs="宋体"/>
                <w:b/>
                <w:bCs/>
                <w:sz w:val="24"/>
                <w:szCs w:val="24"/>
              </w:rPr>
              <w:t>元整</w:t>
            </w:r>
            <w:r>
              <w:rPr>
                <w:rFonts w:hint="eastAsia" w:ascii="宋体" w:hAnsi="宋体" w:cs="宋体"/>
                <w:b/>
                <w:sz w:val="24"/>
                <w:szCs w:val="24"/>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投标人</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bCs/>
                <w:color w:val="auto"/>
                <w:sz w:val="24"/>
                <w:szCs w:val="24"/>
                <w:highlight w:val="none"/>
              </w:rPr>
              <w:t>报价</w:t>
            </w:r>
            <w:r>
              <w:rPr>
                <w:rFonts w:hint="eastAsia" w:asciiTheme="minorEastAsia" w:hAnsiTheme="minorEastAsia" w:eastAsiaTheme="minorEastAsia" w:cstheme="minorEastAsia"/>
                <w:color w:val="auto"/>
                <w:sz w:val="24"/>
                <w:szCs w:val="24"/>
                <w:highlight w:val="none"/>
              </w:rPr>
              <w:t>超过品目号预算价及预算总价视为投标无效</w:t>
            </w:r>
            <w:r>
              <w:rPr>
                <w:rFonts w:hint="eastAsia" w:asciiTheme="minorEastAsia" w:hAnsiTheme="minorEastAsia" w:eastAsiaTheme="minorEastAsia" w:cstheme="minorEastAsia"/>
                <w:bCs/>
                <w:color w:val="auto"/>
                <w:sz w:val="24"/>
                <w:szCs w:val="24"/>
                <w:highlight w:val="none"/>
              </w:rPr>
              <w:t>。</w:t>
            </w:r>
          </w:p>
        </w:tc>
      </w:tr>
      <w:tr w14:paraId="51D8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8EA328A">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w:t>
            </w:r>
          </w:p>
        </w:tc>
        <w:tc>
          <w:tcPr>
            <w:tcW w:w="4707" w:type="pct"/>
            <w:vAlign w:val="center"/>
          </w:tcPr>
          <w:p w14:paraId="51E0256C">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定标原则：</w:t>
            </w:r>
          </w:p>
          <w:p w14:paraId="499944FE">
            <w:pPr>
              <w:spacing w:line="400" w:lineRule="exact"/>
              <w:ind w:firstLine="480"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将对提交投标的合格投标人从技术、商务及报价部分分别进行评议并评分，并汇总出技术、商务及报价部分的综合得分。综合得分最高的投标人将被推荐为中标候选人,如果出现相同的综合得分，则报价低的投标人排序在前优先推荐；如果报价仍相同，则技术部分得分高的投标人优先排序在前推荐,仍然并列相同的，则通过随机抽取方式确定优先顺序推荐。</w:t>
            </w:r>
          </w:p>
        </w:tc>
      </w:tr>
      <w:tr w14:paraId="67CCE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A07120A">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p>
        </w:tc>
        <w:tc>
          <w:tcPr>
            <w:tcW w:w="4707" w:type="pct"/>
            <w:vAlign w:val="center"/>
          </w:tcPr>
          <w:p w14:paraId="71F890D2">
            <w:pPr>
              <w:spacing w:line="400" w:lineRule="exact"/>
              <w:rPr>
                <w:rFonts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特别提示：</w:t>
            </w:r>
          </w:p>
          <w:p w14:paraId="793CF5C4">
            <w:pPr>
              <w:spacing w:line="400" w:lineRule="exact"/>
              <w:ind w:firstLine="720" w:firstLineChars="3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根据闽财购[2016]37号文件规定，评标委员会在评标过程中发现凡有下列情形之一的，视为投标人相互恶意串通投标，并做出其响应无效的决定：</w:t>
            </w:r>
          </w:p>
          <w:p w14:paraId="6B915C42">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（1）不同投标人的投标文件由同一单位或者个人编制；</w:t>
            </w:r>
          </w:p>
          <w:p w14:paraId="3B80147B">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（2）不同投标人委托同一单位或者个人办理响应事文件提交事宜；</w:t>
            </w:r>
          </w:p>
          <w:p w14:paraId="36092660">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（3）不同投标人的投标文件载明的项目管理成员为同一人；</w:t>
            </w:r>
          </w:p>
          <w:p w14:paraId="77658111">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（4）不同投标人的投标文件异常一致或者报价呈规律性差异。</w:t>
            </w:r>
          </w:p>
          <w:p w14:paraId="07678C6A">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（5）不同投标人的投标文件相互混装；</w:t>
            </w:r>
          </w:p>
          <w:p w14:paraId="4D5FA291">
            <w:pPr>
              <w:spacing w:line="400" w:lineRule="exact"/>
              <w:ind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（6）不同投标人的投标保证金从同一单位或者个人的账户转出。</w:t>
            </w:r>
          </w:p>
        </w:tc>
      </w:tr>
      <w:tr w14:paraId="3CE0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5C39E26F">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4707" w:type="pct"/>
            <w:vAlign w:val="center"/>
          </w:tcPr>
          <w:p w14:paraId="2DE45F5A">
            <w:pPr>
              <w:spacing w:line="400" w:lineRule="exact"/>
              <w:rPr>
                <w:rFonts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重大偏差与细微偏差：</w:t>
            </w:r>
          </w:p>
          <w:p w14:paraId="198BDF42">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（一）重大偏差：</w:t>
            </w:r>
          </w:p>
          <w:p w14:paraId="5196D405">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（1）投标文件未按招标文件要求加盖公章并由单位负责人或其书面授权的代理人签字的；</w:t>
            </w:r>
          </w:p>
          <w:p w14:paraId="27E98FB0">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（2）投标文件载明的投标项目服务期限不符合招标文件规定的；</w:t>
            </w:r>
          </w:p>
          <w:p w14:paraId="60B3D366">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（3）明显不符合技术服务指标及要求的；</w:t>
            </w:r>
          </w:p>
          <w:p w14:paraId="3DCC3CAC">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（4）投标文件附有采购人不能接受的条件；</w:t>
            </w:r>
          </w:p>
          <w:p w14:paraId="72BF348E">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（5）不符合招标文件中规定的其他实质性要求。</w:t>
            </w:r>
          </w:p>
          <w:p w14:paraId="6F9F0131">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注：投标人的投标文件若有上述情形之一的，认定为未对招标文件作出实质性响应，作响应无效处理。</w:t>
            </w:r>
          </w:p>
          <w:p w14:paraId="708888F2">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（二）、细微偏差：</w:t>
            </w:r>
          </w:p>
          <w:p w14:paraId="0F2BEFF2">
            <w:pPr>
              <w:spacing w:line="40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bCs/>
                <w:color w:val="auto"/>
                <w:sz w:val="24"/>
                <w:szCs w:val="24"/>
                <w:highlight w:val="none"/>
              </w:rPr>
              <w:t>在实质上响应招标文件要求，但在个别地方存在漏项或者提供了不完整的技术信息和数据等情况，并且补正这些遗漏或者不完整不会对其他</w:t>
            </w:r>
            <w:r>
              <w:rPr>
                <w:rFonts w:hint="eastAsia" w:asciiTheme="minorEastAsia" w:hAnsiTheme="minorEastAsia" w:eastAsiaTheme="minorEastAsia" w:cstheme="minorEastAsia"/>
                <w:color w:val="auto"/>
                <w:sz w:val="24"/>
                <w:szCs w:val="24"/>
                <w:highlight w:val="none"/>
              </w:rPr>
              <w:t>提交投标文件的</w:t>
            </w:r>
            <w:r>
              <w:rPr>
                <w:rFonts w:hint="eastAsia" w:asciiTheme="minorEastAsia" w:hAnsiTheme="minorEastAsia" w:eastAsiaTheme="minorEastAsia" w:cstheme="minorEastAsia"/>
                <w:bCs/>
                <w:color w:val="auto"/>
                <w:sz w:val="24"/>
                <w:szCs w:val="24"/>
                <w:highlight w:val="none"/>
              </w:rPr>
              <w:t>投标人造成不公平的结果。细微偏差不影响</w:t>
            </w: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bCs/>
                <w:color w:val="auto"/>
                <w:sz w:val="24"/>
                <w:szCs w:val="24"/>
                <w:highlight w:val="none"/>
              </w:rPr>
              <w:t>的有效性。</w:t>
            </w:r>
          </w:p>
          <w:p w14:paraId="4B2D4902">
            <w:pPr>
              <w:spacing w:line="40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评标委员会应当书面要求存在细微偏差的</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bCs/>
                <w:color w:val="auto"/>
                <w:sz w:val="24"/>
                <w:szCs w:val="24"/>
                <w:highlight w:val="none"/>
              </w:rPr>
              <w:t>投标人在投标结束前予以补正。补正的程序和方法按照招标文件规定执行。无法补正的，可在评审时对细微偏差作不利于该</w:t>
            </w:r>
            <w:r>
              <w:rPr>
                <w:rFonts w:hint="eastAsia" w:asciiTheme="minorEastAsia" w:hAnsiTheme="minorEastAsia" w:eastAsiaTheme="minorEastAsia" w:cstheme="minorEastAsia"/>
                <w:color w:val="auto"/>
                <w:sz w:val="24"/>
                <w:szCs w:val="24"/>
                <w:highlight w:val="none"/>
              </w:rPr>
              <w:t>报价</w:t>
            </w:r>
            <w:r>
              <w:rPr>
                <w:rFonts w:hint="eastAsia" w:asciiTheme="minorEastAsia" w:hAnsiTheme="minorEastAsia" w:eastAsiaTheme="minorEastAsia" w:cstheme="minorEastAsia"/>
                <w:bCs/>
                <w:color w:val="auto"/>
                <w:sz w:val="24"/>
                <w:szCs w:val="24"/>
                <w:highlight w:val="none"/>
              </w:rPr>
              <w:t>投标人的认定。</w:t>
            </w:r>
          </w:p>
          <w:p w14:paraId="083DC3A4">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细微偏差的可能情形包括：</w:t>
            </w:r>
          </w:p>
          <w:p w14:paraId="613468B0">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（1）有明显文字和算术计算错误的内容，能接受评标委员会提出修正意见的；</w:t>
            </w:r>
          </w:p>
          <w:p w14:paraId="1557F16D">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（2）同类问题出现前后文字表述不一致；</w:t>
            </w:r>
          </w:p>
          <w:p w14:paraId="37EFC183">
            <w:pPr>
              <w:spacing w:line="40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（3）含义不明确的表述；</w:t>
            </w:r>
          </w:p>
          <w:p w14:paraId="214BC2FF">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评标委员会判定重大偏差、细微偏差是依据投标文件，而不寻求其他的外部证据。</w:t>
            </w:r>
          </w:p>
        </w:tc>
      </w:tr>
      <w:tr w14:paraId="3F773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BAB1D98">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4707" w:type="pct"/>
            <w:vAlign w:val="center"/>
          </w:tcPr>
          <w:p w14:paraId="4BFEFF9A">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招标代理服务费：</w:t>
            </w:r>
          </w:p>
          <w:p w14:paraId="356A4050">
            <w:pPr>
              <w:numPr>
                <w:ilvl w:val="0"/>
                <w:numId w:val="15"/>
              </w:numPr>
              <w:spacing w:line="400" w:lineRule="exact"/>
              <w:rPr>
                <w:rStyle w:val="56"/>
                <w:rFonts w:hint="eastAsia" w:asciiTheme="minorEastAsia" w:hAnsiTheme="minorEastAsia" w:eastAsiaTheme="minorEastAsia" w:cstheme="minorEastAsia"/>
                <w:b w:val="0"/>
                <w:color w:val="auto"/>
                <w:sz w:val="24"/>
                <w:szCs w:val="24"/>
                <w:highlight w:val="none"/>
              </w:rPr>
            </w:pPr>
            <w:r>
              <w:rPr>
                <w:rStyle w:val="56"/>
                <w:rFonts w:hint="eastAsia" w:asciiTheme="minorEastAsia" w:hAnsiTheme="minorEastAsia" w:eastAsiaTheme="minorEastAsia" w:cstheme="minorEastAsia"/>
                <w:b w:val="0"/>
                <w:color w:val="auto"/>
                <w:sz w:val="24"/>
                <w:szCs w:val="24"/>
                <w:highlight w:val="none"/>
              </w:rPr>
              <w:t>本项目招标代理服务费向中标人收取，招标代理服务收费的标准：预算金额≤50万元的项目代理服务费</w:t>
            </w:r>
            <w:r>
              <w:rPr>
                <w:rStyle w:val="56"/>
                <w:rFonts w:hint="eastAsia" w:asciiTheme="minorEastAsia" w:hAnsiTheme="minorEastAsia" w:eastAsiaTheme="minorEastAsia" w:cstheme="minorEastAsia"/>
                <w:b w:val="0"/>
                <w:color w:val="auto"/>
                <w:sz w:val="24"/>
                <w:szCs w:val="24"/>
                <w:highlight w:val="none"/>
                <w:lang w:eastAsia="zh-CN"/>
              </w:rPr>
              <w:t>一次性收取</w:t>
            </w:r>
            <w:r>
              <w:rPr>
                <w:rStyle w:val="56"/>
                <w:rFonts w:hint="eastAsia" w:asciiTheme="minorEastAsia" w:hAnsiTheme="minorEastAsia" w:eastAsiaTheme="minorEastAsia" w:cstheme="minorEastAsia"/>
                <w:b w:val="0"/>
                <w:color w:val="auto"/>
                <w:sz w:val="24"/>
                <w:szCs w:val="24"/>
                <w:highlight w:val="none"/>
              </w:rPr>
              <w:t>3000元</w:t>
            </w:r>
            <w:r>
              <w:rPr>
                <w:rStyle w:val="56"/>
                <w:rFonts w:hint="eastAsia" w:asciiTheme="minorEastAsia" w:hAnsiTheme="minorEastAsia" w:eastAsiaTheme="minorEastAsia" w:cstheme="minorEastAsia"/>
                <w:b w:val="0"/>
                <w:color w:val="auto"/>
                <w:sz w:val="24"/>
                <w:szCs w:val="24"/>
                <w:highlight w:val="none"/>
                <w:lang w:eastAsia="zh-CN"/>
              </w:rPr>
              <w:t>。</w:t>
            </w:r>
          </w:p>
          <w:p w14:paraId="431BAB3B">
            <w:pPr>
              <w:numPr>
                <w:ilvl w:val="0"/>
                <w:numId w:val="0"/>
              </w:num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（2）中标人应在领取中标通知书前应先以转账或电汇付款方式向招标代理机构缴纳招标代理服务费。</w:t>
            </w:r>
          </w:p>
          <w:p w14:paraId="368C1113">
            <w:pPr>
              <w:spacing w:line="40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（3）招标代理服务费缴交账户名：福建华真招标代理有限公司 开户行：招商银行股份有限公司福州仓山支行 账号：5919 0615 1310 806。</w:t>
            </w:r>
          </w:p>
        </w:tc>
      </w:tr>
      <w:tr w14:paraId="6B05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6A13D8C7">
            <w:pPr>
              <w:spacing w:line="400" w:lineRule="exact"/>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4707" w:type="pct"/>
            <w:vAlign w:val="center"/>
          </w:tcPr>
          <w:p w14:paraId="3D8BCB7E">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采购项目行政监督部门：采购人监督部门</w:t>
            </w:r>
          </w:p>
        </w:tc>
      </w:tr>
      <w:tr w14:paraId="71B05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 w:type="pct"/>
            <w:vAlign w:val="center"/>
          </w:tcPr>
          <w:p w14:paraId="371930FC">
            <w:pPr>
              <w:spacing w:line="400" w:lineRule="exact"/>
              <w:jc w:val="center"/>
              <w:rPr>
                <w:rFonts w:hint="default" w:asciiTheme="minorEastAsia" w:hAnsiTheme="minorEastAsia" w:eastAsiaTheme="minorEastAsia" w:cstheme="minorEastAsia"/>
                <w:color w:val="auto"/>
                <w:sz w:val="24"/>
                <w:szCs w:val="24"/>
                <w:highlight w:val="none"/>
                <w:lang w:val="en-US" w:eastAsia="zh-CN"/>
              </w:rPr>
            </w:pPr>
            <w:bookmarkStart w:id="9" w:name="_Toc12028"/>
            <w:bookmarkStart w:id="10" w:name="_Toc421107722"/>
            <w:r>
              <w:rPr>
                <w:rFonts w:hint="eastAsia" w:asciiTheme="minorEastAsia" w:hAnsiTheme="minorEastAsia" w:eastAsiaTheme="minorEastAsia" w:cstheme="minorEastAsia"/>
                <w:color w:val="auto"/>
                <w:sz w:val="24"/>
                <w:szCs w:val="24"/>
                <w:highlight w:val="none"/>
                <w:lang w:val="en-US" w:eastAsia="zh-CN"/>
              </w:rPr>
              <w:t>14</w:t>
            </w:r>
          </w:p>
        </w:tc>
        <w:tc>
          <w:tcPr>
            <w:tcW w:w="4707" w:type="pct"/>
            <w:vAlign w:val="center"/>
          </w:tcPr>
          <w:p w14:paraId="20DC40F9">
            <w:pPr>
              <w:spacing w:line="360" w:lineRule="auto"/>
              <w:rPr>
                <w:rFonts w:hint="eastAsia" w:ascii="宋体" w:hAnsi="宋体" w:cs="宋体"/>
                <w:b/>
                <w:sz w:val="24"/>
              </w:rPr>
            </w:pPr>
            <w:r>
              <w:rPr>
                <w:rFonts w:hint="eastAsia" w:ascii="宋体" w:hAnsi="宋体" w:cs="宋体"/>
                <w:b/>
                <w:sz w:val="24"/>
              </w:rPr>
              <w:t>开具发票事宜：</w:t>
            </w:r>
          </w:p>
          <w:p w14:paraId="10073C00">
            <w:pPr>
              <w:spacing w:line="360" w:lineRule="auto"/>
              <w:rPr>
                <w:rFonts w:hint="eastAsia" w:ascii="宋体" w:hAnsi="宋体" w:cs="宋体"/>
                <w:bCs/>
                <w:sz w:val="24"/>
              </w:rPr>
            </w:pPr>
            <w:r>
              <w:rPr>
                <w:rFonts w:hint="eastAsia" w:ascii="宋体" w:hAnsi="宋体" w:cs="宋体"/>
                <w:bCs/>
                <w:sz w:val="24"/>
              </w:rPr>
              <w:t>1. 发票类型：本项目代理机构为投标人开具增值税普通发票。</w:t>
            </w:r>
          </w:p>
          <w:p w14:paraId="2A330ACF">
            <w:pPr>
              <w:spacing w:line="360" w:lineRule="auto"/>
              <w:rPr>
                <w:rFonts w:hint="eastAsia" w:ascii="宋体" w:hAnsi="宋体" w:cs="宋体"/>
                <w:bCs/>
                <w:sz w:val="24"/>
              </w:rPr>
            </w:pPr>
            <w:r>
              <w:rPr>
                <w:rFonts w:hint="eastAsia" w:ascii="宋体" w:hAnsi="宋体" w:cs="宋体"/>
                <w:bCs/>
                <w:sz w:val="24"/>
              </w:rPr>
              <w:t>2. 开票前提：发票将在相关费用（如标书款、中标服务费等） 全额通过对公转账方式支付至本公司指定账户后，依申请开具。</w:t>
            </w:r>
          </w:p>
          <w:p w14:paraId="34076567">
            <w:pPr>
              <w:spacing w:line="360" w:lineRule="auto"/>
              <w:rPr>
                <w:rFonts w:hint="eastAsia" w:ascii="宋体" w:hAnsi="宋体" w:cs="宋体"/>
                <w:bCs/>
                <w:sz w:val="24"/>
              </w:rPr>
            </w:pPr>
            <w:r>
              <w:rPr>
                <w:rFonts w:hint="eastAsia" w:ascii="宋体" w:hAnsi="宋体" w:cs="宋体"/>
                <w:bCs/>
                <w:sz w:val="24"/>
              </w:rPr>
              <w:t>3. 信息准确性： 投标人有义务在申请开票时，提供准确无误的开票信息（包括但不限于单位名称、纳税人识别号、地址、电话、开户行及账号）。请务必仔细核对。因投标人提供的开票信息有误导致发票内容错误的，我司有权要求投标人收回原发票并重新提供准确信息，由此产生的换票、补开费用由投标人承担。</w:t>
            </w:r>
          </w:p>
          <w:p w14:paraId="2DB90487">
            <w:pPr>
              <w:spacing w:line="400" w:lineRule="exact"/>
              <w:rPr>
                <w:rFonts w:hint="eastAsia" w:asciiTheme="minorEastAsia" w:hAnsiTheme="minorEastAsia" w:eastAsiaTheme="minorEastAsia" w:cstheme="minorEastAsia"/>
                <w:b/>
                <w:color w:val="auto"/>
                <w:sz w:val="24"/>
                <w:szCs w:val="24"/>
                <w:highlight w:val="none"/>
              </w:rPr>
            </w:pPr>
            <w:r>
              <w:rPr>
                <w:rFonts w:hint="eastAsia" w:ascii="宋体" w:hAnsi="宋体" w:cs="宋体"/>
                <w:bCs/>
                <w:sz w:val="24"/>
              </w:rPr>
              <w:t>4. 开票时效： 我司将在收到款项并确认开票信息后，在合理工作日内完成发票开具。</w:t>
            </w:r>
          </w:p>
        </w:tc>
      </w:tr>
      <w:bookmarkEnd w:id="9"/>
    </w:tbl>
    <w:p w14:paraId="6766FFB8">
      <w:pPr>
        <w:spacing w:line="360" w:lineRule="exact"/>
        <w:outlineLvl w:val="1"/>
        <w:rPr>
          <w:rFonts w:asciiTheme="minorEastAsia" w:hAnsiTheme="minorEastAsia" w:eastAsiaTheme="minorEastAsia" w:cstheme="minorEastAsia"/>
          <w:b/>
          <w:color w:val="auto"/>
          <w:spacing w:val="-4"/>
          <w:sz w:val="24"/>
          <w:szCs w:val="24"/>
          <w:highlight w:val="none"/>
        </w:rPr>
      </w:pPr>
      <w:bookmarkStart w:id="11" w:name="_Toc52289403"/>
      <w:bookmarkStart w:id="12" w:name="_Toc4120"/>
      <w:bookmarkStart w:id="13" w:name="_Toc447101480"/>
      <w:bookmarkStart w:id="14" w:name="_Toc47966971"/>
      <w:bookmarkStart w:id="15" w:name="_Toc460320231"/>
      <w:bookmarkStart w:id="16" w:name="_Toc3992"/>
      <w:bookmarkStart w:id="17" w:name="_Toc19075"/>
      <w:r>
        <w:rPr>
          <w:rFonts w:hint="eastAsia" w:asciiTheme="minorEastAsia" w:hAnsiTheme="minorEastAsia" w:eastAsiaTheme="minorEastAsia" w:cstheme="minorEastAsia"/>
          <w:b/>
          <w:color w:val="auto"/>
          <w:spacing w:val="-4"/>
          <w:sz w:val="24"/>
          <w:szCs w:val="24"/>
          <w:highlight w:val="none"/>
        </w:rPr>
        <w:t>附件A：评标方法</w:t>
      </w:r>
      <w:bookmarkEnd w:id="11"/>
      <w:bookmarkEnd w:id="12"/>
      <w:bookmarkEnd w:id="13"/>
      <w:bookmarkEnd w:id="14"/>
      <w:bookmarkEnd w:id="15"/>
      <w:bookmarkEnd w:id="16"/>
    </w:p>
    <w:p w14:paraId="6518538E">
      <w:pPr>
        <w:spacing w:line="400" w:lineRule="exact"/>
        <w:rPr>
          <w:rFonts w:asciiTheme="minorEastAsia" w:hAnsiTheme="minorEastAsia" w:eastAsiaTheme="minorEastAsia" w:cstheme="minorEastAsia"/>
          <w:color w:val="auto"/>
          <w:sz w:val="24"/>
          <w:szCs w:val="24"/>
          <w:highlight w:val="none"/>
        </w:rPr>
      </w:pPr>
      <w:bookmarkStart w:id="18" w:name="_Toc460320232"/>
      <w:r>
        <w:rPr>
          <w:rFonts w:hint="eastAsia" w:asciiTheme="minorEastAsia" w:hAnsiTheme="minorEastAsia" w:eastAsiaTheme="minorEastAsia" w:cstheme="minorEastAsia"/>
          <w:color w:val="auto"/>
          <w:sz w:val="24"/>
          <w:szCs w:val="24"/>
          <w:highlight w:val="none"/>
        </w:rPr>
        <w:t>一、评标标准：</w:t>
      </w:r>
      <w:bookmarkEnd w:id="18"/>
    </w:p>
    <w:p w14:paraId="28634282">
      <w:pPr>
        <w:snapToGrid w:val="0"/>
        <w:spacing w:line="400" w:lineRule="exact"/>
        <w:ind w:firstLine="480" w:firstLineChars="200"/>
        <w:rPr>
          <w:rStyle w:val="56"/>
          <w:rFonts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 w:val="24"/>
          <w:szCs w:val="24"/>
          <w:highlight w:val="none"/>
        </w:rPr>
        <w:t>评标工作将依据</w:t>
      </w:r>
      <w:bookmarkStart w:id="19" w:name="OLE_LINK2"/>
      <w:r>
        <w:rPr>
          <w:rFonts w:hint="eastAsia" w:asciiTheme="minorEastAsia" w:hAnsiTheme="minorEastAsia" w:eastAsiaTheme="minorEastAsia" w:cstheme="minorEastAsia"/>
          <w:color w:val="auto"/>
          <w:sz w:val="24"/>
          <w:szCs w:val="24"/>
          <w:highlight w:val="none"/>
        </w:rPr>
        <w:t>《中华人民共和国政府采购法》</w:t>
      </w:r>
      <w:bookmarkEnd w:id="19"/>
      <w:r>
        <w:rPr>
          <w:rFonts w:hint="eastAsia" w:asciiTheme="minorEastAsia" w:hAnsiTheme="minorEastAsia" w:eastAsiaTheme="minorEastAsia" w:cstheme="minorEastAsia"/>
          <w:color w:val="auto"/>
          <w:sz w:val="24"/>
          <w:szCs w:val="24"/>
          <w:highlight w:val="none"/>
        </w:rPr>
        <w:t>、《中华人民共和国政府采购法实施条例》、《政府采购货物和服务招标投标管理办法》的规定进行，遵循“公开、公平、公正”和“诚实信用”的原则。评标委员会将按照规定对各投标人的投标文件采用相同的程序和标准进行评价和比较，对通过资格及符合性检查的合格投标人根据以下标准和方法进行评估，评议过程严格按照招标文件的要求和条件进行。</w:t>
      </w:r>
    </w:p>
    <w:p w14:paraId="64CBBA57">
      <w:pPr>
        <w:pStyle w:val="48"/>
        <w:shd w:val="clear" w:color="auto" w:fill="FFFFFF"/>
        <w:spacing w:before="0" w:beforeAutospacing="0" w:after="0" w:afterAutospacing="0" w:line="400" w:lineRule="exact"/>
        <w:rPr>
          <w:rFonts w:asciiTheme="minorEastAsia" w:hAnsiTheme="minorEastAsia" w:eastAsiaTheme="minorEastAsia" w:cstheme="minorEastAsia"/>
          <w:color w:val="auto"/>
          <w:highlight w:val="none"/>
          <w:shd w:val="clear" w:color="auto" w:fill="FFFFFF"/>
        </w:rPr>
      </w:pPr>
      <w:r>
        <w:rPr>
          <w:rStyle w:val="56"/>
          <w:rFonts w:hint="eastAsia" w:asciiTheme="minorEastAsia" w:hAnsiTheme="minorEastAsia" w:eastAsiaTheme="minorEastAsia" w:cstheme="minorEastAsia"/>
          <w:color w:val="auto"/>
          <w:highlight w:val="none"/>
          <w:shd w:val="clear" w:color="auto" w:fill="FFFFFF"/>
        </w:rPr>
        <w:t>本项目合同包1采用综合评分法</w:t>
      </w:r>
      <w:r>
        <w:rPr>
          <w:rFonts w:hint="eastAsia" w:asciiTheme="minorEastAsia" w:hAnsiTheme="minorEastAsia" w:eastAsiaTheme="minorEastAsia" w:cstheme="minorEastAsia"/>
          <w:color w:val="auto"/>
          <w:highlight w:val="none"/>
          <w:shd w:val="clear" w:color="auto" w:fill="FFFFFF"/>
        </w:rPr>
        <w:t>：</w:t>
      </w:r>
    </w:p>
    <w:p w14:paraId="60BF9503">
      <w:pPr>
        <w:pStyle w:val="48"/>
        <w:spacing w:before="0" w:beforeAutospacing="0" w:after="0" w:afterAutospacing="0" w:line="400" w:lineRule="exact"/>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（1）投标文件满足招标文件全部实质性要求，且按照评审因素的量化指标评审得分（即评标总得分）最高的投标人为中标候选人。</w:t>
      </w:r>
    </w:p>
    <w:p w14:paraId="3057A522">
      <w:pPr>
        <w:widowControl/>
        <w:spacing w:line="400" w:lineRule="exact"/>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（2）评分按价格、技术和商务三大部分进行，总分为100分（对技术、商务部分评分结果统计时，取各个评标委员会评分汇总后的算术平均值，计算分数时四舍五入保留小数点后2位数），分值分布如下：</w:t>
      </w:r>
    </w:p>
    <w:p w14:paraId="61845249">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各部分评分分值分布如下：</w:t>
      </w:r>
    </w:p>
    <w:p w14:paraId="102094C5">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A：技术部分评分        满分</w:t>
      </w:r>
      <w:r>
        <w:rPr>
          <w:rFonts w:hint="eastAsia" w:asciiTheme="minorEastAsia" w:hAnsiTheme="minorEastAsia" w:eastAsiaTheme="minorEastAsia" w:cstheme="minorEastAsia"/>
          <w:color w:val="auto"/>
          <w:kern w:val="0"/>
          <w:sz w:val="24"/>
          <w:szCs w:val="24"/>
          <w:highlight w:val="none"/>
          <w:lang w:val="en-US" w:eastAsia="zh-CN"/>
        </w:rPr>
        <w:t>75</w:t>
      </w:r>
      <w:r>
        <w:rPr>
          <w:rFonts w:hint="eastAsia" w:asciiTheme="minorEastAsia" w:hAnsiTheme="minorEastAsia" w:eastAsiaTheme="minorEastAsia" w:cstheme="minorEastAsia"/>
          <w:color w:val="auto"/>
          <w:kern w:val="0"/>
          <w:sz w:val="24"/>
          <w:szCs w:val="24"/>
          <w:highlight w:val="none"/>
        </w:rPr>
        <w:t>分</w:t>
      </w:r>
    </w:p>
    <w:p w14:paraId="01BAADE1">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B：商务部分评分        满分</w:t>
      </w:r>
      <w:r>
        <w:rPr>
          <w:rFonts w:hint="eastAsia" w:asciiTheme="minorEastAsia" w:hAnsiTheme="minorEastAsia" w:eastAsiaTheme="minorEastAsia" w:cstheme="minorEastAsia"/>
          <w:color w:val="auto"/>
          <w:kern w:val="0"/>
          <w:sz w:val="24"/>
          <w:szCs w:val="24"/>
          <w:highlight w:val="none"/>
          <w:lang w:val="en-US" w:eastAsia="zh-CN"/>
        </w:rPr>
        <w:t>15</w:t>
      </w:r>
      <w:r>
        <w:rPr>
          <w:rFonts w:hint="eastAsia" w:asciiTheme="minorEastAsia" w:hAnsiTheme="minorEastAsia" w:eastAsiaTheme="minorEastAsia" w:cstheme="minorEastAsia"/>
          <w:color w:val="auto"/>
          <w:kern w:val="0"/>
          <w:sz w:val="24"/>
          <w:szCs w:val="24"/>
          <w:highlight w:val="none"/>
        </w:rPr>
        <w:t>分</w:t>
      </w:r>
    </w:p>
    <w:p w14:paraId="3FF47648">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xml:space="preserve">C：报价部分评分        满分10分    </w:t>
      </w:r>
    </w:p>
    <w:p w14:paraId="5F1E6E88">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p>
    <w:p w14:paraId="47D50A05">
      <w:pPr>
        <w:widowControl/>
        <w:spacing w:line="400" w:lineRule="exact"/>
        <w:ind w:firstLine="595"/>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（3）各项评审因素的设置如下：</w:t>
      </w:r>
    </w:p>
    <w:p w14:paraId="4C3C5E4B">
      <w:pPr>
        <w:widowControl/>
        <w:spacing w:line="400" w:lineRule="exact"/>
        <w:ind w:firstLine="598"/>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包1</w:t>
      </w:r>
    </w:p>
    <w:p w14:paraId="78A26737">
      <w:pPr>
        <w:widowControl/>
        <w:spacing w:line="400" w:lineRule="exact"/>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A：技术部分评分           满分</w:t>
      </w:r>
      <w:r>
        <w:rPr>
          <w:rFonts w:hint="eastAsia" w:asciiTheme="minorEastAsia" w:hAnsiTheme="minorEastAsia" w:eastAsiaTheme="minorEastAsia" w:cstheme="minorEastAsia"/>
          <w:b/>
          <w:bCs/>
          <w:color w:val="auto"/>
          <w:kern w:val="0"/>
          <w:sz w:val="24"/>
          <w:szCs w:val="24"/>
          <w:highlight w:val="none"/>
          <w:lang w:val="en-US" w:eastAsia="zh-CN"/>
        </w:rPr>
        <w:t>75</w:t>
      </w:r>
      <w:r>
        <w:rPr>
          <w:rFonts w:hint="eastAsia" w:asciiTheme="minorEastAsia" w:hAnsiTheme="minorEastAsia" w:eastAsiaTheme="minorEastAsia" w:cstheme="minorEastAsia"/>
          <w:b/>
          <w:bCs/>
          <w:color w:val="auto"/>
          <w:kern w:val="0"/>
          <w:sz w:val="24"/>
          <w:szCs w:val="24"/>
          <w:highlight w:val="none"/>
        </w:rPr>
        <w:t>分</w:t>
      </w:r>
    </w:p>
    <w:tbl>
      <w:tblPr>
        <w:tblStyle w:val="53"/>
        <w:tblW w:w="960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96"/>
        <w:gridCol w:w="982"/>
        <w:gridCol w:w="7022"/>
      </w:tblGrid>
      <w:tr w14:paraId="1C837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tcPr>
          <w:p w14:paraId="4103C66A">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982" w:type="dxa"/>
          </w:tcPr>
          <w:p w14:paraId="3DAEF87F">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7022" w:type="dxa"/>
          </w:tcPr>
          <w:p w14:paraId="27C2DE07">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5B652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tcPr>
          <w:p w14:paraId="559CB4C3">
            <w:pPr>
              <w:pStyle w:val="500"/>
              <w:spacing w:line="400" w:lineRule="exact"/>
              <w:jc w:val="both"/>
              <w:rPr>
                <w:rFonts w:hint="default" w:ascii="宋体" w:hAnsi="宋体" w:eastAsia="宋体" w:cs="宋体"/>
                <w:bCs/>
                <w:color w:val="auto"/>
                <w:sz w:val="24"/>
                <w:szCs w:val="24"/>
                <w:highlight w:val="none"/>
              </w:rPr>
            </w:pPr>
            <w:r>
              <w:rPr>
                <w:rFonts w:ascii="宋体" w:hAnsi="宋体" w:eastAsia="宋体" w:cs="宋体"/>
                <w:color w:val="auto"/>
                <w:sz w:val="24"/>
                <w:szCs w:val="24"/>
                <w:highlight w:val="none"/>
              </w:rPr>
              <w:t>1、响应情况</w:t>
            </w:r>
          </w:p>
        </w:tc>
        <w:tc>
          <w:tcPr>
            <w:tcW w:w="982" w:type="dxa"/>
          </w:tcPr>
          <w:p w14:paraId="785F5B1D">
            <w:pPr>
              <w:pStyle w:val="500"/>
              <w:spacing w:line="400" w:lineRule="exact"/>
              <w:jc w:val="center"/>
              <w:rPr>
                <w:rFonts w:hint="default"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48</w:t>
            </w:r>
            <w:r>
              <w:rPr>
                <w:rFonts w:ascii="宋体" w:hAnsi="宋体" w:eastAsia="宋体" w:cs="宋体"/>
                <w:color w:val="auto"/>
                <w:sz w:val="24"/>
                <w:szCs w:val="24"/>
                <w:highlight w:val="none"/>
              </w:rPr>
              <w:t>.00</w:t>
            </w:r>
          </w:p>
        </w:tc>
        <w:tc>
          <w:tcPr>
            <w:tcW w:w="7022" w:type="dxa"/>
          </w:tcPr>
          <w:p w14:paraId="5CA4CF25">
            <w:pPr>
              <w:pStyle w:val="500"/>
              <w:spacing w:line="400" w:lineRule="exact"/>
              <w:rPr>
                <w:rFonts w:hint="eastAsia" w:ascii="宋体" w:hAnsi="宋体" w:eastAsia="宋体" w:cs="宋体"/>
                <w:bCs/>
                <w:color w:val="auto"/>
                <w:sz w:val="24"/>
                <w:szCs w:val="24"/>
                <w:highlight w:val="none"/>
                <w:lang w:val="en-US" w:eastAsia="zh-CN"/>
              </w:rPr>
            </w:pPr>
            <w:r>
              <w:rPr>
                <w:rFonts w:ascii="宋体" w:hAnsi="宋体" w:eastAsia="宋体" w:cs="宋体"/>
                <w:color w:val="auto"/>
                <w:sz w:val="24"/>
                <w:szCs w:val="24"/>
                <w:highlight w:val="none"/>
              </w:rPr>
              <w:t>根据投标人对招标文件《第三章  招标内容及要求》中的“二、技术和服务要求”的响应情况，由评标委员会进行评分：①完全满足招标文件要求的得</w:t>
            </w:r>
            <w:r>
              <w:rPr>
                <w:rFonts w:hint="eastAsia" w:ascii="宋体" w:hAnsi="宋体" w:eastAsia="宋体" w:cs="宋体"/>
                <w:color w:val="auto"/>
                <w:sz w:val="24"/>
                <w:szCs w:val="24"/>
                <w:highlight w:val="none"/>
                <w:lang w:val="en-US" w:eastAsia="zh-CN"/>
              </w:rPr>
              <w:t>48</w:t>
            </w:r>
            <w:r>
              <w:rPr>
                <w:rFonts w:ascii="宋体" w:hAnsi="宋体" w:eastAsia="宋体" w:cs="宋体"/>
                <w:color w:val="auto"/>
                <w:sz w:val="24"/>
                <w:szCs w:val="24"/>
                <w:highlight w:val="none"/>
              </w:rPr>
              <w:t>分；②带“★”标示的内容为不允许负偏离的实质性要求，负偏离按无效响应处理；③其余参数每负偏离一项扣</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分（共</w:t>
            </w:r>
            <w:r>
              <w:rPr>
                <w:rFonts w:hint="eastAsia" w:ascii="宋体" w:hAnsi="宋体" w:eastAsia="宋体" w:cs="宋体"/>
                <w:color w:val="auto"/>
                <w:sz w:val="24"/>
                <w:szCs w:val="24"/>
                <w:highlight w:val="none"/>
                <w:lang w:val="en-US" w:eastAsia="zh-CN"/>
              </w:rPr>
              <w:t>16</w:t>
            </w:r>
            <w:r>
              <w:rPr>
                <w:rFonts w:ascii="宋体" w:hAnsi="宋体" w:eastAsia="宋体" w:cs="宋体"/>
                <w:color w:val="auto"/>
                <w:sz w:val="24"/>
                <w:szCs w:val="24"/>
                <w:highlight w:val="none"/>
              </w:rPr>
              <w:t>项），正偏离不加分。</w:t>
            </w:r>
          </w:p>
        </w:tc>
      </w:tr>
      <w:tr w14:paraId="69D7D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1175160F">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2、服务方案</w:t>
            </w:r>
          </w:p>
        </w:tc>
        <w:tc>
          <w:tcPr>
            <w:tcW w:w="982" w:type="dxa"/>
            <w:vAlign w:val="center"/>
          </w:tcPr>
          <w:p w14:paraId="1F76E2DD">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6D96F860">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根据各投标人提供的服务方案(包括但不限于：巡逻防范等安全防范方案及拟实现的工作目标内容等)情况，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 未针对性提出实施方案，且可操作性较差的得2.7分；未提供的不得分。（满分3分）</w:t>
            </w:r>
          </w:p>
        </w:tc>
      </w:tr>
      <w:tr w14:paraId="0EF25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479DA138">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3、应急处置方案</w:t>
            </w:r>
          </w:p>
        </w:tc>
        <w:tc>
          <w:tcPr>
            <w:tcW w:w="982" w:type="dxa"/>
            <w:vAlign w:val="center"/>
          </w:tcPr>
          <w:p w14:paraId="61132B47">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287F5E0D">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w:t>
            </w:r>
            <w:r>
              <w:rPr>
                <w:rFonts w:hint="eastAsia" w:ascii="宋体" w:hAnsi="宋体" w:cs="宋体"/>
                <w:color w:val="auto"/>
                <w:kern w:val="0"/>
                <w:sz w:val="24"/>
                <w:szCs w:val="24"/>
                <w:highlight w:val="none"/>
                <w:lang w:eastAsia="zh-CN" w:bidi="ar"/>
              </w:rPr>
              <w:t>提供</w:t>
            </w:r>
            <w:r>
              <w:rPr>
                <w:rFonts w:hint="eastAsia" w:ascii="宋体" w:hAnsi="宋体" w:cs="宋体"/>
                <w:color w:val="auto"/>
                <w:kern w:val="0"/>
                <w:sz w:val="24"/>
                <w:szCs w:val="24"/>
                <w:highlight w:val="none"/>
                <w:lang w:bidi="ar"/>
              </w:rPr>
              <w:t>的应急处置方案（包括但不限于：群体性突发事件、抢救救援、防事件意外、防火等应急反应措施等）情况，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 未针对性提出实施方案，且可操作性较差的得2.7分；未提供的不得分。（满分3分）</w:t>
            </w:r>
          </w:p>
        </w:tc>
      </w:tr>
      <w:tr w14:paraId="1F139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0114EAAB">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4、交接计划及组织实施方案</w:t>
            </w:r>
          </w:p>
        </w:tc>
        <w:tc>
          <w:tcPr>
            <w:tcW w:w="982" w:type="dxa"/>
            <w:vAlign w:val="center"/>
          </w:tcPr>
          <w:p w14:paraId="5ABD2C2F">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45C57FBF">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w:t>
            </w:r>
            <w:r>
              <w:rPr>
                <w:rFonts w:hint="eastAsia" w:ascii="宋体" w:hAnsi="宋体" w:cs="宋体"/>
                <w:color w:val="auto"/>
                <w:kern w:val="0"/>
                <w:sz w:val="24"/>
                <w:szCs w:val="24"/>
                <w:highlight w:val="none"/>
                <w:lang w:eastAsia="zh-CN" w:bidi="ar"/>
              </w:rPr>
              <w:t>提供</w:t>
            </w:r>
            <w:r>
              <w:rPr>
                <w:rFonts w:hint="eastAsia" w:ascii="宋体" w:hAnsi="宋体" w:cs="宋体"/>
                <w:color w:val="auto"/>
                <w:kern w:val="0"/>
                <w:sz w:val="24"/>
                <w:szCs w:val="24"/>
                <w:highlight w:val="none"/>
                <w:lang w:bidi="ar"/>
              </w:rPr>
              <w:t>的交接计划及组织实施方案（包括但不限于：过渡交接计划安排与组织实施的是否合理、是否可行、是否对采购人过渡期造成不利影响程度等）情况，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：方案详细完整合理，可操作性强，有针对性的得3分；针对性提出实施方案基本完整，可操作性一般的得2.8分；未针对性提出实施方案，且可操作性较差的得2.7分；未提供的不得分。（满分3分）</w:t>
            </w:r>
          </w:p>
        </w:tc>
      </w:tr>
      <w:tr w14:paraId="46B12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1351F541">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5、培训方案</w:t>
            </w:r>
          </w:p>
        </w:tc>
        <w:tc>
          <w:tcPr>
            <w:tcW w:w="982" w:type="dxa"/>
            <w:vAlign w:val="center"/>
          </w:tcPr>
          <w:p w14:paraId="1833AE06">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3E2ACAD4">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根据各投标人提供的培训方案（包括但不限于：</w:t>
            </w:r>
            <w:r>
              <w:rPr>
                <w:rFonts w:hint="eastAsia" w:ascii="宋体" w:hAnsi="宋体" w:cs="宋体"/>
                <w:color w:val="auto"/>
                <w:kern w:val="0"/>
                <w:sz w:val="24"/>
                <w:szCs w:val="24"/>
                <w:highlight w:val="none"/>
                <w:lang w:eastAsia="zh-CN" w:bidi="ar"/>
              </w:rPr>
              <w:t>培训计划和</w:t>
            </w:r>
            <w:r>
              <w:rPr>
                <w:rFonts w:hint="eastAsia" w:ascii="宋体" w:hAnsi="宋体" w:cs="宋体"/>
                <w:color w:val="auto"/>
                <w:kern w:val="0"/>
                <w:sz w:val="24"/>
                <w:szCs w:val="24"/>
                <w:highlight w:val="none"/>
                <w:lang w:bidi="ar"/>
              </w:rPr>
              <w:t>培训方案等）情况，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 未针对性提出实施方案，且可操作性较差的得2.7分；未提供的不得分。（满分3分）</w:t>
            </w:r>
          </w:p>
        </w:tc>
      </w:tr>
      <w:tr w14:paraId="4A75F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259D5103">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6、人员稳定措施、监管措施</w:t>
            </w:r>
          </w:p>
        </w:tc>
        <w:tc>
          <w:tcPr>
            <w:tcW w:w="982" w:type="dxa"/>
            <w:vAlign w:val="center"/>
          </w:tcPr>
          <w:p w14:paraId="458CEB9F">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69C5DD52">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根据各投标人提供的人员稳定措施、监管措施及特殊情况预案措施（包括但不限于：因</w:t>
            </w:r>
            <w:r>
              <w:rPr>
                <w:rFonts w:hint="eastAsia" w:ascii="宋体" w:hAnsi="宋体" w:cs="宋体"/>
                <w:color w:val="auto"/>
                <w:kern w:val="0"/>
                <w:sz w:val="24"/>
                <w:szCs w:val="24"/>
                <w:highlight w:val="none"/>
                <w:lang w:eastAsia="zh-CN" w:bidi="ar"/>
              </w:rPr>
              <w:t>保安员</w:t>
            </w:r>
            <w:r>
              <w:rPr>
                <w:rFonts w:hint="eastAsia" w:ascii="宋体" w:hAnsi="宋体" w:cs="宋体"/>
                <w:color w:val="auto"/>
                <w:kern w:val="0"/>
                <w:sz w:val="24"/>
                <w:szCs w:val="24"/>
                <w:highlight w:val="none"/>
                <w:lang w:bidi="ar"/>
              </w:rPr>
              <w:t>离职、辞退、人身伤害不能任岗等情况的人员补充、调度时间等）情况，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 未针对性提出实施方案，且可操作性较差的得2.7分；未提供的不得分。（满分3分）</w:t>
            </w:r>
          </w:p>
        </w:tc>
      </w:tr>
      <w:tr w14:paraId="49A32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59665D5B">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7、安全保卫方案</w:t>
            </w:r>
          </w:p>
        </w:tc>
        <w:tc>
          <w:tcPr>
            <w:tcW w:w="982" w:type="dxa"/>
            <w:vAlign w:val="center"/>
          </w:tcPr>
          <w:p w14:paraId="166ECD0E">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698DCA42">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根据各投标人提供的安全保卫方案（包括但不限于：‌人员进出管理、巡查制度</w:t>
            </w:r>
            <w:r>
              <w:rPr>
                <w:rFonts w:hint="eastAsia" w:ascii="宋体" w:hAnsi="宋体" w:cs="宋体"/>
                <w:color w:val="auto"/>
                <w:sz w:val="24"/>
                <w:szCs w:val="24"/>
                <w:highlight w:val="none"/>
              </w:rPr>
              <w:t>等</w:t>
            </w:r>
            <w:r>
              <w:rPr>
                <w:rFonts w:hint="eastAsia" w:ascii="宋体" w:hAnsi="宋体" w:cs="宋体"/>
                <w:color w:val="auto"/>
                <w:kern w:val="0"/>
                <w:sz w:val="24"/>
                <w:szCs w:val="24"/>
                <w:highlight w:val="none"/>
                <w:lang w:bidi="ar"/>
              </w:rPr>
              <w:t>）情况，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 未针对性提出实施方案，且可操作性较差的得2.7分；未提供的不得分。（满分3分）</w:t>
            </w:r>
          </w:p>
        </w:tc>
      </w:tr>
      <w:tr w14:paraId="11B17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0A9EE0F3">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8、规章制度</w:t>
            </w:r>
          </w:p>
        </w:tc>
        <w:tc>
          <w:tcPr>
            <w:tcW w:w="982" w:type="dxa"/>
            <w:vAlign w:val="center"/>
          </w:tcPr>
          <w:p w14:paraId="6C815138">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11F9BE92">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根据各投标人提供的规章制度（包括但不限于：保安考勤管理制度、保安日常行为规范、保安工作现场管理制度、保安人事管理制度等）情况，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：方案详细完整合理，可操作性强，有针对性的得3分；针对性提出实施方案基本完整，可操作性一般的得2.8分；未针对性提出实施方案，且可操作性较差的得2.7分；未提供的不得分。（满分3分）</w:t>
            </w:r>
          </w:p>
        </w:tc>
      </w:tr>
      <w:tr w14:paraId="1A69F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596" w:type="dxa"/>
            <w:vAlign w:val="center"/>
          </w:tcPr>
          <w:p w14:paraId="2B721475">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9、配置计划</w:t>
            </w:r>
          </w:p>
        </w:tc>
        <w:tc>
          <w:tcPr>
            <w:tcW w:w="982" w:type="dxa"/>
            <w:vAlign w:val="center"/>
          </w:tcPr>
          <w:p w14:paraId="6C694309">
            <w:pPr>
              <w:widowControl/>
              <w:spacing w:line="400" w:lineRule="exact"/>
              <w:jc w:val="center"/>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3</w:t>
            </w:r>
          </w:p>
        </w:tc>
        <w:tc>
          <w:tcPr>
            <w:tcW w:w="7022" w:type="dxa"/>
            <w:vAlign w:val="center"/>
          </w:tcPr>
          <w:p w14:paraId="7D12C496">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w:t>
            </w:r>
            <w:r>
              <w:rPr>
                <w:rFonts w:hint="eastAsia" w:ascii="宋体" w:hAnsi="宋体" w:cs="宋体"/>
                <w:color w:val="auto"/>
                <w:kern w:val="0"/>
                <w:sz w:val="24"/>
                <w:szCs w:val="24"/>
                <w:highlight w:val="none"/>
                <w:lang w:eastAsia="zh-CN" w:bidi="ar"/>
              </w:rPr>
              <w:t>提供</w:t>
            </w:r>
            <w:r>
              <w:rPr>
                <w:rFonts w:hint="eastAsia" w:ascii="宋体" w:hAnsi="宋体" w:cs="宋体"/>
                <w:color w:val="auto"/>
                <w:kern w:val="0"/>
                <w:sz w:val="24"/>
                <w:szCs w:val="24"/>
                <w:highlight w:val="none"/>
                <w:lang w:bidi="ar"/>
              </w:rPr>
              <w:t>的配置计划（包括但不限于：执勤装备、安保器械、劳保用品、防护装备等的配置计划合理性、可行性是否符合采购人的实际情况以及装备性能是否良好等）情况，</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计划合理、可行、符合采购人的实际情况以及装备性能好的得3分；计划较合理、较可行、基本符合采购人的实际情况以及装备性能良的得2.8分；计划一般、基本符合采购人的实际情况以及装备性能一般的得2.7分；未提供的不得分。（满分3分）</w:t>
            </w:r>
          </w:p>
        </w:tc>
      </w:tr>
      <w:tr w14:paraId="54F14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596" w:type="dxa"/>
            <w:vAlign w:val="center"/>
          </w:tcPr>
          <w:p w14:paraId="1A6878D2">
            <w:pPr>
              <w:widowControl/>
              <w:spacing w:line="400" w:lineRule="exact"/>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10、重大活动安全保卫方案</w:t>
            </w:r>
          </w:p>
        </w:tc>
        <w:tc>
          <w:tcPr>
            <w:tcW w:w="982" w:type="dxa"/>
            <w:vAlign w:val="center"/>
          </w:tcPr>
          <w:p w14:paraId="78D9AA24">
            <w:pPr>
              <w:widowControl/>
              <w:spacing w:line="400" w:lineRule="exact"/>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022" w:type="dxa"/>
            <w:vAlign w:val="center"/>
          </w:tcPr>
          <w:p w14:paraId="56F7595F">
            <w:pPr>
              <w:widowControl/>
              <w:spacing w:line="400" w:lineRule="exact"/>
              <w:jc w:val="left"/>
              <w:rPr>
                <w:rFonts w:ascii="宋体" w:hAnsi="宋体" w:cs="宋体"/>
                <w:bCs/>
                <w:color w:val="auto"/>
                <w:sz w:val="24"/>
                <w:szCs w:val="24"/>
                <w:highlight w:val="none"/>
              </w:rPr>
            </w:pPr>
            <w:r>
              <w:rPr>
                <w:rFonts w:hint="eastAsia" w:ascii="宋体" w:hAnsi="宋体" w:cs="宋体"/>
                <w:color w:val="auto"/>
                <w:kern w:val="0"/>
                <w:sz w:val="24"/>
                <w:szCs w:val="24"/>
                <w:highlight w:val="none"/>
                <w:lang w:bidi="ar"/>
              </w:rPr>
              <w:t>根据各投标人提供的重大活动安全保卫方案</w:t>
            </w:r>
            <w:r>
              <w:rPr>
                <w:rFonts w:hint="eastAsia" w:ascii="宋体" w:hAnsi="宋体" w:cs="宋体"/>
                <w:color w:val="auto"/>
                <w:sz w:val="24"/>
                <w:szCs w:val="24"/>
                <w:highlight w:val="none"/>
              </w:rPr>
              <w:t>(包括但不限于：重大节日及大型活动日的人员岗位安排、安保人员岗位职责、应急物资准备、人员应急疏散预案等)情况</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rPr>
              <w:t>由评标委员会进行评分</w:t>
            </w:r>
            <w:r>
              <w:rPr>
                <w:rFonts w:hint="eastAsia" w:ascii="宋体" w:hAnsi="宋体" w:cs="宋体"/>
                <w:color w:val="auto"/>
                <w:kern w:val="0"/>
                <w:sz w:val="24"/>
                <w:szCs w:val="24"/>
                <w:highlight w:val="none"/>
                <w:lang w:bidi="ar"/>
              </w:rPr>
              <w:t>，重大活动安全保卫方案完整、可行的得3分，重大活动安全保卫方案较完整、较可行的得2.8分，重大活动安全保卫方案一般的得2.</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bidi="ar"/>
              </w:rPr>
              <w:t>分，未提供的不得分。（满分3分）</w:t>
            </w:r>
          </w:p>
        </w:tc>
      </w:tr>
    </w:tbl>
    <w:p w14:paraId="73EB38DE">
      <w:pPr>
        <w:pStyle w:val="52"/>
        <w:spacing w:after="0" w:line="400" w:lineRule="exact"/>
        <w:ind w:firstLine="240"/>
        <w:rPr>
          <w:rFonts w:asciiTheme="minorEastAsia" w:hAnsiTheme="minorEastAsia" w:eastAsiaTheme="minorEastAsia" w:cstheme="minorEastAsia"/>
          <w:color w:val="auto"/>
          <w:sz w:val="24"/>
          <w:highlight w:val="none"/>
        </w:rPr>
      </w:pPr>
    </w:p>
    <w:p w14:paraId="067C3864">
      <w:pPr>
        <w:widowControl/>
        <w:spacing w:line="400" w:lineRule="exact"/>
        <w:ind w:firstLine="482" w:firstLineChars="200"/>
        <w:jc w:val="left"/>
        <w:rPr>
          <w:rFonts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B：商务部分评分           满分</w:t>
      </w:r>
      <w:r>
        <w:rPr>
          <w:rFonts w:hint="eastAsia" w:asciiTheme="minorEastAsia" w:hAnsiTheme="minorEastAsia" w:eastAsiaTheme="minorEastAsia" w:cstheme="minorEastAsia"/>
          <w:b/>
          <w:bCs/>
          <w:color w:val="auto"/>
          <w:kern w:val="0"/>
          <w:sz w:val="24"/>
          <w:szCs w:val="24"/>
          <w:highlight w:val="none"/>
          <w:lang w:val="en-US" w:eastAsia="zh-CN"/>
        </w:rPr>
        <w:t>15</w:t>
      </w:r>
      <w:r>
        <w:rPr>
          <w:rFonts w:hint="eastAsia" w:asciiTheme="minorEastAsia" w:hAnsiTheme="minorEastAsia" w:eastAsiaTheme="minorEastAsia" w:cstheme="minorEastAsia"/>
          <w:b/>
          <w:bCs/>
          <w:color w:val="auto"/>
          <w:kern w:val="0"/>
          <w:sz w:val="24"/>
          <w:szCs w:val="24"/>
          <w:highlight w:val="none"/>
        </w:rPr>
        <w:t>分</w:t>
      </w:r>
    </w:p>
    <w:tbl>
      <w:tblPr>
        <w:tblStyle w:val="53"/>
        <w:tblW w:w="9739"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82"/>
        <w:gridCol w:w="983"/>
        <w:gridCol w:w="7074"/>
      </w:tblGrid>
      <w:tr w14:paraId="46BBF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tcPr>
          <w:p w14:paraId="0A9E74F2">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项目</w:t>
            </w:r>
          </w:p>
        </w:tc>
        <w:tc>
          <w:tcPr>
            <w:tcW w:w="983" w:type="dxa"/>
          </w:tcPr>
          <w:p w14:paraId="17B8C31D">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分值</w:t>
            </w:r>
          </w:p>
        </w:tc>
        <w:tc>
          <w:tcPr>
            <w:tcW w:w="7074" w:type="dxa"/>
          </w:tcPr>
          <w:p w14:paraId="336385F4">
            <w:pPr>
              <w:pStyle w:val="500"/>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描述</w:t>
            </w:r>
          </w:p>
        </w:tc>
      </w:tr>
      <w:tr w14:paraId="3C588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vAlign w:val="center"/>
          </w:tcPr>
          <w:p w14:paraId="4B7DE833">
            <w:pPr>
              <w:widowControl/>
              <w:spacing w:line="400" w:lineRule="exact"/>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、人员配置</w:t>
            </w:r>
            <w:r>
              <w:rPr>
                <w:rFonts w:hint="eastAsia" w:ascii="宋体" w:hAnsi="宋体" w:cs="宋体"/>
                <w:color w:val="auto"/>
                <w:kern w:val="0"/>
                <w:sz w:val="24"/>
                <w:szCs w:val="24"/>
                <w:highlight w:val="none"/>
                <w:lang w:val="en-US" w:eastAsia="zh-CN" w:bidi="ar"/>
              </w:rPr>
              <w:t>1</w:t>
            </w:r>
          </w:p>
        </w:tc>
        <w:tc>
          <w:tcPr>
            <w:tcW w:w="983" w:type="dxa"/>
            <w:vAlign w:val="center"/>
          </w:tcPr>
          <w:p w14:paraId="5B0B7113">
            <w:pPr>
              <w:widowControl/>
              <w:spacing w:line="400" w:lineRule="exact"/>
              <w:jc w:val="center"/>
              <w:rPr>
                <w:rFonts w:ascii="宋体" w:hAnsi="宋体" w:cs="宋体"/>
                <w:color w:val="auto"/>
                <w:sz w:val="24"/>
                <w:szCs w:val="24"/>
                <w:highlight w:val="none"/>
                <w:shd w:val="clear" w:color="auto" w:fill="FFFFFF"/>
              </w:rPr>
            </w:pPr>
            <w:r>
              <w:rPr>
                <w:rFonts w:hint="eastAsia" w:ascii="宋体" w:hAnsi="宋体" w:cs="宋体"/>
                <w:color w:val="auto"/>
                <w:kern w:val="0"/>
                <w:sz w:val="24"/>
                <w:szCs w:val="24"/>
                <w:highlight w:val="none"/>
                <w:lang w:bidi="ar"/>
              </w:rPr>
              <w:t>3</w:t>
            </w:r>
          </w:p>
        </w:tc>
        <w:tc>
          <w:tcPr>
            <w:tcW w:w="7074" w:type="dxa"/>
            <w:shd w:val="clear" w:color="auto" w:fill="auto"/>
            <w:vAlign w:val="center"/>
          </w:tcPr>
          <w:p w14:paraId="61B0C5C0">
            <w:pPr>
              <w:widowControl/>
              <w:spacing w:line="400" w:lineRule="exact"/>
              <w:jc w:val="left"/>
              <w:rPr>
                <w:rFonts w:ascii="宋体" w:hAnsi="宋体" w:cs="宋体"/>
                <w:bCs/>
                <w:color w:val="auto"/>
                <w:sz w:val="24"/>
                <w:szCs w:val="24"/>
                <w:highlight w:val="none"/>
                <w:shd w:val="clear" w:color="auto" w:fill="FFFFFF"/>
                <w:lang w:eastAsia="zh-Hans"/>
              </w:rPr>
            </w:pPr>
            <w:r>
              <w:rPr>
                <w:rFonts w:hint="eastAsia" w:ascii="宋体" w:hAnsi="宋体" w:cs="宋体"/>
                <w:bCs/>
                <w:color w:val="auto"/>
                <w:sz w:val="24"/>
                <w:szCs w:val="24"/>
                <w:highlight w:val="none"/>
              </w:rPr>
              <w:t>投标人拟派本项目的保安队长为退伍军人，</w:t>
            </w:r>
            <w:r>
              <w:rPr>
                <w:rFonts w:hint="eastAsia" w:ascii="宋体" w:hAnsi="宋体" w:cs="宋体"/>
                <w:color w:val="auto"/>
                <w:sz w:val="24"/>
                <w:szCs w:val="24"/>
                <w:highlight w:val="none"/>
              </w:rPr>
              <w:t>同时</w:t>
            </w:r>
            <w:r>
              <w:rPr>
                <w:rFonts w:hint="eastAsia" w:ascii="宋体" w:hAnsi="宋体" w:cs="宋体"/>
                <w:bCs/>
                <w:color w:val="auto"/>
                <w:sz w:val="24"/>
                <w:szCs w:val="24"/>
                <w:highlight w:val="none"/>
              </w:rPr>
              <w:t>持有</w:t>
            </w:r>
            <w:r>
              <w:rPr>
                <w:rFonts w:hint="eastAsia" w:ascii="宋体" w:hAnsi="宋体" w:cs="宋体"/>
                <w:bCs/>
                <w:color w:val="auto"/>
                <w:sz w:val="24"/>
                <w:szCs w:val="24"/>
                <w:highlight w:val="none"/>
                <w:lang w:eastAsia="zh-CN"/>
              </w:rPr>
              <w:t>保卫管理员三级或以上</w:t>
            </w:r>
            <w:r>
              <w:rPr>
                <w:rFonts w:hint="eastAsia" w:ascii="宋体" w:hAnsi="宋体" w:cs="宋体"/>
                <w:bCs/>
                <w:color w:val="auto"/>
                <w:sz w:val="24"/>
                <w:szCs w:val="24"/>
                <w:highlight w:val="none"/>
              </w:rPr>
              <w:t>、红十字救护员证的得3分，满分3分 。</w:t>
            </w:r>
            <w:r>
              <w:rPr>
                <w:rFonts w:hint="eastAsia" w:ascii="宋体" w:hAnsi="宋体" w:cs="宋体"/>
                <w:bCs/>
                <w:color w:val="auto"/>
                <w:sz w:val="24"/>
                <w:szCs w:val="24"/>
                <w:highlight w:val="none"/>
                <w:lang w:eastAsia="zh-CN"/>
              </w:rPr>
              <w:t>注</w:t>
            </w:r>
            <w:r>
              <w:rPr>
                <w:rFonts w:hint="eastAsia" w:ascii="宋体" w:hAnsi="宋体" w:cs="宋体"/>
                <w:bCs/>
                <w:color w:val="auto"/>
                <w:sz w:val="24"/>
                <w:szCs w:val="24"/>
                <w:highlight w:val="none"/>
                <w:lang w:val="en-US" w:eastAsia="zh-CN"/>
              </w:rPr>
              <w:t>:</w:t>
            </w:r>
            <w:r>
              <w:rPr>
                <w:rFonts w:hint="eastAsia" w:ascii="宋体" w:hAnsi="宋体" w:cs="宋体"/>
                <w:color w:val="auto"/>
                <w:sz w:val="24"/>
                <w:szCs w:val="24"/>
                <w:highlight w:val="none"/>
              </w:rPr>
              <w:t>须提供转业证或退伍证复印件、</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rPr>
              <w:t>证书复印件及投标截止时间前六个月内任意1个月（不含投标当月）该人员在投标人</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缴纳社保证明材料，未提供或提供不全的不得分</w:t>
            </w:r>
            <w:r>
              <w:rPr>
                <w:rFonts w:hint="eastAsia" w:ascii="宋体" w:hAnsi="宋体" w:cs="宋体"/>
                <w:bCs/>
                <w:color w:val="auto"/>
                <w:sz w:val="24"/>
                <w:szCs w:val="24"/>
                <w:highlight w:val="none"/>
              </w:rPr>
              <w:t>。此项与“</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人员配置</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”不重复得分。</w:t>
            </w:r>
          </w:p>
        </w:tc>
      </w:tr>
      <w:tr w14:paraId="705C3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vAlign w:val="center"/>
          </w:tcPr>
          <w:p w14:paraId="702A1D82">
            <w:pPr>
              <w:widowControl/>
              <w:spacing w:line="400" w:lineRule="exact"/>
              <w:jc w:val="left"/>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kern w:val="0"/>
                <w:sz w:val="24"/>
                <w:szCs w:val="24"/>
                <w:highlight w:val="none"/>
                <w:lang w:val="en-US" w:eastAsia="zh-CN" w:bidi="ar"/>
              </w:rPr>
              <w:t>2</w:t>
            </w:r>
            <w:r>
              <w:rPr>
                <w:rFonts w:hint="eastAsia" w:ascii="宋体" w:hAnsi="宋体" w:cs="宋体"/>
                <w:color w:val="auto"/>
                <w:kern w:val="0"/>
                <w:sz w:val="24"/>
                <w:szCs w:val="24"/>
                <w:highlight w:val="none"/>
                <w:lang w:bidi="ar"/>
              </w:rPr>
              <w:t>、人员配置</w:t>
            </w:r>
            <w:r>
              <w:rPr>
                <w:rFonts w:hint="eastAsia" w:ascii="宋体" w:hAnsi="宋体" w:cs="宋体"/>
                <w:color w:val="auto"/>
                <w:kern w:val="0"/>
                <w:sz w:val="24"/>
                <w:szCs w:val="24"/>
                <w:highlight w:val="none"/>
                <w:lang w:val="en-US" w:eastAsia="zh-CN" w:bidi="ar"/>
              </w:rPr>
              <w:t>2</w:t>
            </w:r>
          </w:p>
        </w:tc>
        <w:tc>
          <w:tcPr>
            <w:tcW w:w="983" w:type="dxa"/>
            <w:vAlign w:val="center"/>
          </w:tcPr>
          <w:p w14:paraId="7E31F057">
            <w:pPr>
              <w:widowControl/>
              <w:spacing w:line="400" w:lineRule="exact"/>
              <w:jc w:val="center"/>
              <w:rPr>
                <w:rFonts w:ascii="宋体" w:hAnsi="宋体" w:cs="宋体"/>
                <w:color w:val="auto"/>
                <w:sz w:val="24"/>
                <w:szCs w:val="24"/>
                <w:highlight w:val="none"/>
                <w:shd w:val="clear" w:color="auto" w:fill="FFFFFF"/>
              </w:rPr>
            </w:pPr>
            <w:r>
              <w:rPr>
                <w:rFonts w:hint="eastAsia" w:ascii="宋体" w:hAnsi="宋体" w:cs="宋体"/>
                <w:color w:val="auto"/>
                <w:kern w:val="0"/>
                <w:sz w:val="24"/>
                <w:szCs w:val="24"/>
                <w:highlight w:val="none"/>
                <w:lang w:bidi="ar"/>
              </w:rPr>
              <w:t>3</w:t>
            </w:r>
          </w:p>
        </w:tc>
        <w:tc>
          <w:tcPr>
            <w:tcW w:w="7074" w:type="dxa"/>
            <w:shd w:val="clear" w:color="auto" w:fill="auto"/>
            <w:vAlign w:val="center"/>
          </w:tcPr>
          <w:p w14:paraId="1352213A">
            <w:pPr>
              <w:widowControl/>
              <w:spacing w:line="400" w:lineRule="exact"/>
              <w:jc w:val="left"/>
              <w:rPr>
                <w:rFonts w:ascii="宋体" w:hAnsi="宋体" w:cs="宋体"/>
                <w:bCs/>
                <w:color w:val="auto"/>
                <w:sz w:val="24"/>
                <w:szCs w:val="24"/>
                <w:highlight w:val="none"/>
                <w:shd w:val="clear" w:color="auto" w:fill="FFFFFF"/>
                <w:lang w:eastAsia="zh-Hans"/>
              </w:rPr>
            </w:pPr>
            <w:r>
              <w:rPr>
                <w:rFonts w:hint="eastAsia" w:ascii="宋体" w:hAnsi="宋体" w:cs="宋体"/>
                <w:color w:val="auto"/>
                <w:sz w:val="24"/>
                <w:szCs w:val="24"/>
                <w:highlight w:val="none"/>
              </w:rPr>
              <w:t>投标人拟派本项目的</w:t>
            </w:r>
            <w:r>
              <w:rPr>
                <w:rFonts w:hint="eastAsia" w:ascii="宋体" w:hAnsi="宋体" w:cs="宋体"/>
                <w:color w:val="auto"/>
                <w:sz w:val="24"/>
                <w:szCs w:val="24"/>
                <w:highlight w:val="none"/>
                <w:lang w:eastAsia="zh-CN"/>
              </w:rPr>
              <w:t>保安员</w:t>
            </w:r>
            <w:r>
              <w:rPr>
                <w:rFonts w:hint="eastAsia" w:ascii="宋体" w:hAnsi="宋体" w:cs="宋体"/>
                <w:color w:val="auto"/>
                <w:sz w:val="24"/>
                <w:szCs w:val="24"/>
                <w:highlight w:val="none"/>
              </w:rPr>
              <w:t>为退伍军人，同时持有红十字救护员证的得3分，满分3分 。</w:t>
            </w:r>
            <w:r>
              <w:rPr>
                <w:rFonts w:hint="eastAsia" w:ascii="宋体" w:hAnsi="宋体" w:cs="宋体"/>
                <w:color w:val="auto"/>
                <w:sz w:val="24"/>
                <w:szCs w:val="24"/>
                <w:highlight w:val="none"/>
                <w:lang w:eastAsia="zh-CN"/>
              </w:rPr>
              <w:t>注：</w:t>
            </w:r>
            <w:r>
              <w:rPr>
                <w:rFonts w:hint="eastAsia" w:ascii="宋体" w:hAnsi="宋体" w:cs="宋体"/>
                <w:color w:val="auto"/>
                <w:sz w:val="24"/>
                <w:szCs w:val="24"/>
                <w:highlight w:val="none"/>
              </w:rPr>
              <w:t>须提供转业证或退伍证复印件、上述证书复印件及投标截止时间前六个月内任意1个月（不含投标当月）该人员在投标人</w:t>
            </w:r>
            <w:r>
              <w:rPr>
                <w:rFonts w:hint="eastAsia" w:ascii="宋体" w:hAnsi="宋体" w:cs="宋体"/>
                <w:color w:val="auto"/>
                <w:sz w:val="24"/>
                <w:szCs w:val="24"/>
                <w:highlight w:val="none"/>
                <w:lang w:eastAsia="zh-CN"/>
              </w:rPr>
              <w:t>单位</w:t>
            </w:r>
            <w:r>
              <w:rPr>
                <w:rFonts w:hint="eastAsia" w:ascii="宋体" w:hAnsi="宋体" w:cs="宋体"/>
                <w:color w:val="auto"/>
                <w:sz w:val="24"/>
                <w:szCs w:val="24"/>
                <w:highlight w:val="none"/>
              </w:rPr>
              <w:t>缴纳社保证明材料，未提供或提供不全的不得分。</w:t>
            </w:r>
            <w:r>
              <w:rPr>
                <w:rFonts w:hint="eastAsia" w:ascii="宋体" w:hAnsi="宋体" w:cs="宋体"/>
                <w:bCs/>
                <w:color w:val="auto"/>
                <w:sz w:val="24"/>
                <w:szCs w:val="24"/>
                <w:highlight w:val="none"/>
              </w:rPr>
              <w:t>此项与“</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人员配置</w:t>
            </w:r>
            <w:r>
              <w:rPr>
                <w:rFonts w:hint="eastAsia" w:ascii="宋体" w:hAnsi="宋体" w:cs="宋体"/>
                <w:bCs/>
                <w:color w:val="auto"/>
                <w:sz w:val="24"/>
                <w:szCs w:val="24"/>
                <w:highlight w:val="none"/>
                <w:lang w:val="en-US" w:eastAsia="zh-CN"/>
              </w:rPr>
              <w:t>1</w:t>
            </w:r>
            <w:r>
              <w:rPr>
                <w:rFonts w:hint="eastAsia" w:ascii="宋体" w:hAnsi="宋体" w:cs="宋体"/>
                <w:bCs/>
                <w:color w:val="auto"/>
                <w:sz w:val="24"/>
                <w:szCs w:val="24"/>
                <w:highlight w:val="none"/>
              </w:rPr>
              <w:t>”不重复得分。</w:t>
            </w:r>
          </w:p>
        </w:tc>
      </w:tr>
      <w:tr w14:paraId="0B1DB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vAlign w:val="center"/>
          </w:tcPr>
          <w:p w14:paraId="20BD4070">
            <w:pPr>
              <w:widowControl/>
              <w:spacing w:line="400" w:lineRule="exact"/>
              <w:jc w:val="left"/>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、服务响应情况</w:t>
            </w:r>
          </w:p>
        </w:tc>
        <w:tc>
          <w:tcPr>
            <w:tcW w:w="983" w:type="dxa"/>
            <w:vAlign w:val="center"/>
          </w:tcPr>
          <w:p w14:paraId="15B8E834">
            <w:pPr>
              <w:widowControl/>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3</w:t>
            </w:r>
          </w:p>
        </w:tc>
        <w:tc>
          <w:tcPr>
            <w:tcW w:w="7074" w:type="dxa"/>
            <w:shd w:val="clear" w:color="auto" w:fill="auto"/>
          </w:tcPr>
          <w:p w14:paraId="36EEFC05">
            <w:pPr>
              <w:pStyle w:val="500"/>
              <w:spacing w:line="400" w:lineRule="exact"/>
              <w:rPr>
                <w:rFonts w:hint="default"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CN"/>
              </w:rPr>
              <w:t>投标人</w:t>
            </w:r>
            <w:r>
              <w:rPr>
                <w:rFonts w:ascii="宋体" w:hAnsi="宋体" w:eastAsia="宋体" w:cs="宋体"/>
                <w:color w:val="auto"/>
                <w:sz w:val="24"/>
                <w:szCs w:val="24"/>
                <w:highlight w:val="none"/>
              </w:rPr>
              <w:t>在接到应急服务通知后的响应情况，由评标委员会进行评分：承诺响应时间≤30分钟的得3分，30分钟＜响应时间≤45分钟的得2分，45分钟＜响应时间≤60分钟的得1分</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其余不得分。</w:t>
            </w:r>
            <w:r>
              <w:rPr>
                <w:rFonts w:hint="eastAsia" w:ascii="宋体" w:hAnsi="宋体" w:eastAsia="宋体" w:cs="宋体"/>
                <w:color w:val="auto"/>
                <w:sz w:val="24"/>
                <w:szCs w:val="24"/>
                <w:highlight w:val="none"/>
                <w:lang w:eastAsia="zh-CN"/>
              </w:rPr>
              <w:t>注：</w:t>
            </w:r>
            <w:r>
              <w:rPr>
                <w:rFonts w:ascii="宋体" w:hAnsi="宋体" w:eastAsia="宋体" w:cs="宋体"/>
                <w:color w:val="auto"/>
                <w:sz w:val="24"/>
                <w:szCs w:val="24"/>
                <w:highlight w:val="none"/>
              </w:rPr>
              <w:t>须提供承诺函(格式自拟)，未提供的不得分。</w:t>
            </w:r>
          </w:p>
        </w:tc>
      </w:tr>
      <w:tr w14:paraId="4905F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vAlign w:val="center"/>
          </w:tcPr>
          <w:p w14:paraId="2479BAC2">
            <w:pPr>
              <w:widowControl/>
              <w:spacing w:line="400" w:lineRule="exact"/>
              <w:jc w:val="left"/>
              <w:rPr>
                <w:rFonts w:ascii="宋体" w:hAnsi="宋体" w:cs="宋体"/>
                <w:color w:val="auto"/>
                <w:kern w:val="0"/>
                <w:sz w:val="24"/>
                <w:szCs w:val="24"/>
                <w:highlight w:val="none"/>
                <w:lang w:bidi="ar"/>
              </w:rPr>
            </w:pP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、业绩</w:t>
            </w:r>
          </w:p>
        </w:tc>
        <w:tc>
          <w:tcPr>
            <w:tcW w:w="983" w:type="dxa"/>
            <w:vAlign w:val="center"/>
          </w:tcPr>
          <w:p w14:paraId="6C5D42D1">
            <w:pPr>
              <w:widowControl/>
              <w:spacing w:line="400" w:lineRule="exact"/>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074" w:type="dxa"/>
            <w:shd w:val="clear" w:color="auto" w:fill="auto"/>
            <w:vAlign w:val="center"/>
          </w:tcPr>
          <w:p w14:paraId="48810EC6">
            <w:pPr>
              <w:widowControl/>
              <w:spacing w:line="400" w:lineRule="exact"/>
              <w:jc w:val="left"/>
              <w:rPr>
                <w:rFonts w:ascii="宋体" w:hAnsi="宋体" w:cs="宋体"/>
                <w:bCs/>
                <w:color w:val="auto"/>
                <w:sz w:val="24"/>
                <w:szCs w:val="24"/>
                <w:highlight w:val="none"/>
              </w:rPr>
            </w:pPr>
            <w:r>
              <w:rPr>
                <w:rFonts w:hint="eastAsia" w:ascii="宋体" w:hAnsi="宋体" w:cs="宋体"/>
                <w:bCs/>
                <w:color w:val="auto"/>
                <w:sz w:val="24"/>
                <w:szCs w:val="24"/>
                <w:highlight w:val="none"/>
              </w:rPr>
              <w:t>根据投标人所提供的2022年1月1日至投标截止时间止（日期以合同签订日期为准）由投标人独立完成或正在履行的</w:t>
            </w:r>
            <w:r>
              <w:rPr>
                <w:rFonts w:hint="eastAsia" w:ascii="宋体" w:hAnsi="宋体" w:cs="宋体"/>
                <w:bCs/>
                <w:color w:val="auto"/>
                <w:sz w:val="24"/>
                <w:szCs w:val="24"/>
                <w:highlight w:val="none"/>
                <w:lang w:eastAsia="zh-CN"/>
              </w:rPr>
              <w:t>安保</w:t>
            </w:r>
            <w:r>
              <w:rPr>
                <w:rFonts w:hint="eastAsia" w:ascii="宋体" w:hAnsi="宋体" w:cs="宋体"/>
                <w:bCs/>
                <w:color w:val="auto"/>
                <w:sz w:val="24"/>
                <w:szCs w:val="24"/>
                <w:highlight w:val="none"/>
                <w:lang w:val="en-US" w:eastAsia="zh-CN"/>
              </w:rPr>
              <w:t>项目</w:t>
            </w:r>
            <w:r>
              <w:rPr>
                <w:rFonts w:hint="eastAsia" w:ascii="宋体" w:hAnsi="宋体" w:cs="宋体"/>
                <w:bCs/>
                <w:color w:val="auto"/>
                <w:sz w:val="24"/>
                <w:szCs w:val="24"/>
                <w:highlight w:val="none"/>
              </w:rPr>
              <w:t>业绩进行评分，每提供1份</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rPr>
              <w:t xml:space="preserve">得1分，满分3分。 </w:t>
            </w:r>
            <w:r>
              <w:rPr>
                <w:rFonts w:hint="eastAsia" w:ascii="宋体" w:hAnsi="宋体" w:cs="宋体"/>
                <w:bCs/>
                <w:color w:val="auto"/>
                <w:sz w:val="24"/>
                <w:szCs w:val="24"/>
                <w:highlight w:val="none"/>
                <w:lang w:eastAsia="zh-CN"/>
              </w:rPr>
              <w:t>注：</w:t>
            </w:r>
            <w:r>
              <w:rPr>
                <w:rFonts w:hint="eastAsia" w:ascii="宋体" w:hAnsi="宋体" w:cs="宋体"/>
                <w:bCs/>
                <w:color w:val="auto"/>
                <w:sz w:val="24"/>
                <w:szCs w:val="24"/>
                <w:highlight w:val="none"/>
              </w:rPr>
              <w:t>须提供列表并提供该项目的中标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公告（提供相关网站中标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公告的下载网页并注明网址）、中标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通知书复印件、采购合同文本复印件，以及能够证明该业绩项目已经采购人验收合格或正在履行的相关证明文件复印件，所有材料缺一不可，否则不得分。未提供或提供不全不得分。</w:t>
            </w:r>
            <w:r>
              <w:rPr>
                <w:rFonts w:hint="eastAsia" w:ascii="宋体" w:hAnsi="宋体" w:cs="宋体"/>
                <w:bCs/>
                <w:color w:val="auto"/>
                <w:sz w:val="24"/>
                <w:szCs w:val="24"/>
                <w:highlight w:val="none"/>
                <w:lang w:eastAsia="zh-CN"/>
              </w:rPr>
              <w:t>此项与“</w:t>
            </w:r>
            <w:r>
              <w:rPr>
                <w:rFonts w:hint="eastAsia" w:ascii="宋体" w:hAnsi="宋体" w:cs="宋体"/>
                <w:bCs/>
                <w:color w:val="auto"/>
                <w:sz w:val="24"/>
                <w:szCs w:val="24"/>
                <w:highlight w:val="none"/>
                <w:lang w:val="en-US" w:eastAsia="zh-CN"/>
              </w:rPr>
              <w:t>5、满意度评价</w:t>
            </w:r>
            <w:r>
              <w:rPr>
                <w:rFonts w:hint="eastAsia" w:ascii="宋体" w:hAnsi="宋体" w:cs="宋体"/>
                <w:bCs/>
                <w:color w:val="auto"/>
                <w:sz w:val="24"/>
                <w:szCs w:val="24"/>
                <w:highlight w:val="none"/>
                <w:lang w:eastAsia="zh-CN"/>
              </w:rPr>
              <w:t>”不重复得分</w:t>
            </w:r>
            <w:r>
              <w:rPr>
                <w:rFonts w:hint="eastAsia" w:ascii="宋体" w:hAnsi="宋体" w:cs="宋体"/>
                <w:bCs/>
                <w:color w:val="auto"/>
                <w:sz w:val="24"/>
                <w:szCs w:val="24"/>
                <w:highlight w:val="none"/>
              </w:rPr>
              <w:t>。</w:t>
            </w:r>
          </w:p>
        </w:tc>
      </w:tr>
      <w:tr w14:paraId="0EFD0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682" w:type="dxa"/>
            <w:vAlign w:val="center"/>
          </w:tcPr>
          <w:p w14:paraId="23B8FBA0">
            <w:pPr>
              <w:widowControl/>
              <w:spacing w:line="400" w:lineRule="exact"/>
              <w:jc w:val="left"/>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5</w:t>
            </w:r>
            <w:r>
              <w:rPr>
                <w:rFonts w:hint="eastAsia" w:ascii="宋体" w:hAnsi="宋体" w:cs="宋体"/>
                <w:color w:val="auto"/>
                <w:kern w:val="0"/>
                <w:sz w:val="24"/>
                <w:szCs w:val="24"/>
                <w:highlight w:val="none"/>
                <w:lang w:bidi="ar"/>
              </w:rPr>
              <w:t>、满意度评价</w:t>
            </w:r>
          </w:p>
        </w:tc>
        <w:tc>
          <w:tcPr>
            <w:tcW w:w="983" w:type="dxa"/>
            <w:vAlign w:val="center"/>
          </w:tcPr>
          <w:p w14:paraId="0B6E07D8">
            <w:pPr>
              <w:widowControl/>
              <w:spacing w:line="400" w:lineRule="exact"/>
              <w:jc w:val="center"/>
              <w:rPr>
                <w:rFonts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w:t>
            </w:r>
          </w:p>
        </w:tc>
        <w:tc>
          <w:tcPr>
            <w:tcW w:w="7074" w:type="dxa"/>
            <w:shd w:val="clear" w:color="auto" w:fill="auto"/>
            <w:vAlign w:val="center"/>
          </w:tcPr>
          <w:p w14:paraId="3176E6F6">
            <w:pPr>
              <w:widowControl/>
              <w:spacing w:line="400" w:lineRule="exact"/>
              <w:jc w:val="left"/>
              <w:rPr>
                <w:rFonts w:ascii="宋体" w:hAnsi="宋体" w:cs="宋体"/>
                <w:bCs/>
                <w:color w:val="auto"/>
                <w:sz w:val="24"/>
                <w:szCs w:val="24"/>
                <w:highlight w:val="none"/>
              </w:rPr>
            </w:pPr>
            <w:r>
              <w:rPr>
                <w:rFonts w:hint="eastAsia" w:ascii="宋体" w:hAnsi="宋体" w:cs="宋体"/>
                <w:bCs/>
                <w:color w:val="auto"/>
                <w:sz w:val="24"/>
                <w:szCs w:val="24"/>
                <w:highlight w:val="none"/>
              </w:rPr>
              <w:t>根据投标人</w:t>
            </w:r>
            <w:r>
              <w:rPr>
                <w:rFonts w:hint="eastAsia" w:ascii="宋体" w:hAnsi="宋体" w:cs="宋体"/>
                <w:bCs/>
                <w:color w:val="auto"/>
                <w:sz w:val="24"/>
                <w:szCs w:val="24"/>
                <w:highlight w:val="none"/>
                <w:lang w:eastAsia="zh-CN"/>
              </w:rPr>
              <w:t>所提供的</w:t>
            </w:r>
            <w:r>
              <w:rPr>
                <w:rFonts w:hint="eastAsia" w:ascii="宋体" w:hAnsi="宋体" w:cs="宋体"/>
                <w:bCs/>
                <w:color w:val="auto"/>
                <w:sz w:val="24"/>
                <w:szCs w:val="24"/>
                <w:highlight w:val="none"/>
              </w:rPr>
              <w:t>2022年1月1日至投标截止时间止(日期以合同签订日期为准)，</w:t>
            </w:r>
            <w:r>
              <w:rPr>
                <w:rFonts w:hint="eastAsia" w:ascii="宋体" w:hAnsi="宋体" w:cs="宋体"/>
                <w:bCs/>
                <w:color w:val="auto"/>
                <w:sz w:val="24"/>
                <w:szCs w:val="24"/>
                <w:highlight w:val="none"/>
                <w:lang w:eastAsia="zh-CN"/>
              </w:rPr>
              <w:t>由投标人完成的安保</w:t>
            </w:r>
            <w:r>
              <w:rPr>
                <w:rFonts w:hint="eastAsia" w:ascii="宋体" w:hAnsi="宋体" w:cs="宋体"/>
                <w:bCs/>
                <w:color w:val="auto"/>
                <w:sz w:val="24"/>
                <w:szCs w:val="24"/>
                <w:highlight w:val="none"/>
              </w:rPr>
              <w:t>项目用户评价情况进行评分，每提供1份用户评价为“满意”或“90分及以上”或“优秀”的评价反馈表的得1分，满分3分。注：须提供列表并提供该项目的中标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公告（提供相关网站中标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公告的下载网页并注明网址）、中标</w:t>
            </w:r>
            <w:r>
              <w:rPr>
                <w:rFonts w:hint="eastAsia" w:ascii="宋体" w:hAnsi="宋体" w:cs="宋体"/>
                <w:bCs/>
                <w:color w:val="auto"/>
                <w:sz w:val="24"/>
                <w:szCs w:val="24"/>
                <w:highlight w:val="none"/>
                <w:lang w:val="en-US" w:eastAsia="zh-CN"/>
              </w:rPr>
              <w:t>/成交</w:t>
            </w:r>
            <w:r>
              <w:rPr>
                <w:rFonts w:hint="eastAsia" w:ascii="宋体" w:hAnsi="宋体" w:cs="宋体"/>
                <w:bCs/>
                <w:color w:val="auto"/>
                <w:sz w:val="24"/>
                <w:szCs w:val="24"/>
                <w:highlight w:val="none"/>
              </w:rPr>
              <w:t>通知书复印件、</w:t>
            </w:r>
            <w:r>
              <w:rPr>
                <w:rFonts w:hint="eastAsia" w:ascii="宋体" w:hAnsi="宋体" w:cs="宋体"/>
                <w:bCs/>
                <w:color w:val="auto"/>
                <w:sz w:val="24"/>
                <w:szCs w:val="24"/>
                <w:highlight w:val="none"/>
                <w:lang w:eastAsia="zh-CN"/>
              </w:rPr>
              <w:t>采购</w:t>
            </w:r>
            <w:r>
              <w:rPr>
                <w:rFonts w:hint="eastAsia" w:ascii="宋体" w:hAnsi="宋体" w:cs="宋体"/>
                <w:bCs/>
                <w:color w:val="auto"/>
                <w:sz w:val="24"/>
                <w:szCs w:val="24"/>
                <w:highlight w:val="none"/>
              </w:rPr>
              <w:t>合同文本复印件、满意证明材料复印件，未提供或提供不全不得分。此项与“</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eastAsia="zh-CN"/>
              </w:rPr>
              <w:t>业绩</w:t>
            </w:r>
            <w:r>
              <w:rPr>
                <w:rFonts w:hint="eastAsia" w:ascii="宋体" w:hAnsi="宋体" w:cs="宋体"/>
                <w:bCs/>
                <w:color w:val="auto"/>
                <w:sz w:val="24"/>
                <w:szCs w:val="24"/>
                <w:highlight w:val="none"/>
              </w:rPr>
              <w:t>”不重复得分。</w:t>
            </w:r>
          </w:p>
        </w:tc>
      </w:tr>
    </w:tbl>
    <w:p w14:paraId="1B77FE0C">
      <w:pPr>
        <w:pStyle w:val="48"/>
        <w:spacing w:before="0" w:beforeAutospacing="0" w:after="0" w:afterAutospacing="0" w:line="400" w:lineRule="exact"/>
        <w:rPr>
          <w:rFonts w:asciiTheme="minorEastAsia" w:hAnsiTheme="minorEastAsia" w:eastAsiaTheme="minorEastAsia" w:cstheme="minorEastAsia"/>
          <w:b/>
          <w:color w:val="auto"/>
          <w:highlight w:val="none"/>
        </w:rPr>
      </w:pPr>
    </w:p>
    <w:p w14:paraId="7A30EC24">
      <w:pPr>
        <w:pStyle w:val="48"/>
        <w:spacing w:before="0" w:beforeAutospacing="0" w:after="0" w:afterAutospacing="0" w:line="400" w:lineRule="exact"/>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C：报价部分评分       满分</w:t>
      </w:r>
      <w:r>
        <w:rPr>
          <w:rFonts w:hint="eastAsia" w:asciiTheme="minorEastAsia" w:hAnsiTheme="minorEastAsia" w:eastAsiaTheme="minorEastAsia" w:cstheme="minorEastAsia"/>
          <w:b/>
          <w:color w:val="auto"/>
          <w:highlight w:val="none"/>
          <w:u w:val="single"/>
        </w:rPr>
        <w:t>10</w:t>
      </w:r>
      <w:r>
        <w:rPr>
          <w:rFonts w:hint="eastAsia" w:asciiTheme="minorEastAsia" w:hAnsiTheme="minorEastAsia" w:eastAsiaTheme="minorEastAsia" w:cstheme="minorEastAsia"/>
          <w:b/>
          <w:color w:val="auto"/>
          <w:highlight w:val="none"/>
        </w:rPr>
        <w:t>分</w:t>
      </w:r>
    </w:p>
    <w:p w14:paraId="4570F223">
      <w:pPr>
        <w:pStyle w:val="48"/>
        <w:spacing w:before="0" w:beforeAutospacing="0" w:after="0" w:afterAutospacing="0" w:line="400" w:lineRule="exact"/>
        <w:ind w:firstLine="480"/>
        <w:rPr>
          <w:color w:val="auto"/>
          <w:highlight w:val="none"/>
        </w:rPr>
      </w:pPr>
      <w:r>
        <w:rPr>
          <w:rFonts w:hint="eastAsia" w:asciiTheme="minorEastAsia" w:hAnsiTheme="minorEastAsia" w:eastAsiaTheme="minorEastAsia" w:cstheme="minorEastAsia"/>
          <w:color w:val="auto"/>
          <w:highlight w:val="none"/>
        </w:rPr>
        <w:t>a.价格分采用低价优先法计算，即满足招标文件要求且投标价格最低的投标报价为评标基准价，其价格分为满分。其他投标人的价格分统一按照下列公式计算：投标报价得分=（评标基准价／投标报价）×100。</w:t>
      </w:r>
      <w:r>
        <w:rPr>
          <w:rFonts w:hint="eastAsia"/>
          <w:color w:val="auto"/>
          <w:highlight w:val="none"/>
        </w:rPr>
        <w:t>因落实政府采购政策需进行价格扣除的，以扣除后的价格计算评标基准价和投标报价。</w:t>
      </w:r>
    </w:p>
    <w:p w14:paraId="47985F76">
      <w:pPr>
        <w:pStyle w:val="48"/>
        <w:spacing w:before="0" w:beforeAutospacing="0" w:after="0" w:afterAutospacing="0" w:line="400" w:lineRule="exact"/>
        <w:ind w:firstLine="480"/>
        <w:rPr>
          <w:rFonts w:asciiTheme="minorEastAsia" w:hAnsiTheme="minorEastAsia" w:eastAsiaTheme="minorEastAsia" w:cstheme="minorEastAsia"/>
          <w:color w:val="auto"/>
          <w:highlight w:val="none"/>
        </w:rPr>
      </w:pPr>
    </w:p>
    <w:p w14:paraId="37A1C01E">
      <w:pPr>
        <w:spacing w:line="40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二、其它规定</w:t>
      </w:r>
    </w:p>
    <w:p w14:paraId="16C85022">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1、评标应全程保密且不得透露给任一投标人或与评标工作无关的人员。</w:t>
      </w:r>
    </w:p>
    <w:p w14:paraId="0F8CEB29">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2、评标将进行全程实时录音录像，录音录像资料随采购文件一并存档。</w:t>
      </w:r>
    </w:p>
    <w:p w14:paraId="4EC6E7A7">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3、若投标人有任何试图干扰具体评标事务，影响评标委员会独立履行职责的行为，</w:t>
      </w:r>
    </w:p>
    <w:p w14:paraId="1C96024B">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其投标无效且不予退还投标保证金。情节严重的，由财政部门列入不良行为记录。</w:t>
      </w:r>
    </w:p>
    <w:p w14:paraId="582E40E4">
      <w:pPr>
        <w:spacing w:line="4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4、其他：无</w:t>
      </w:r>
    </w:p>
    <w:p w14:paraId="32969998">
      <w:pPr>
        <w:spacing w:line="360" w:lineRule="exact"/>
        <w:ind w:firstLine="434" w:firstLineChars="181"/>
        <w:rPr>
          <w:rFonts w:asciiTheme="minorEastAsia" w:hAnsiTheme="minorEastAsia" w:eastAsiaTheme="minorEastAsia" w:cstheme="minorEastAsia"/>
          <w:color w:val="auto"/>
          <w:sz w:val="24"/>
          <w:szCs w:val="24"/>
          <w:highlight w:val="none"/>
        </w:rPr>
      </w:pPr>
    </w:p>
    <w:p w14:paraId="22945863">
      <w:pPr>
        <w:widowControl/>
        <w:spacing w:line="360" w:lineRule="exact"/>
        <w:ind w:firstLine="595"/>
        <w:jc w:val="left"/>
        <w:rPr>
          <w:rFonts w:asciiTheme="minorEastAsia" w:hAnsiTheme="minorEastAsia" w:eastAsiaTheme="minorEastAsia" w:cstheme="minorEastAsia"/>
          <w:b/>
          <w:bCs/>
          <w:color w:val="auto"/>
          <w:kern w:val="0"/>
          <w:sz w:val="24"/>
          <w:szCs w:val="24"/>
          <w:highlight w:val="none"/>
        </w:rPr>
      </w:pPr>
    </w:p>
    <w:bookmarkEnd w:id="10"/>
    <w:bookmarkEnd w:id="17"/>
    <w:p w14:paraId="372947BD">
      <w:pPr>
        <w:widowControl/>
        <w:jc w:val="left"/>
        <w:rPr>
          <w:rFonts w:asciiTheme="minorEastAsia" w:hAnsiTheme="minorEastAsia" w:eastAsiaTheme="minorEastAsia" w:cstheme="minorEastAsia"/>
          <w:b/>
          <w:color w:val="auto"/>
          <w:sz w:val="24"/>
          <w:szCs w:val="24"/>
          <w:highlight w:val="none"/>
        </w:rPr>
      </w:pPr>
      <w:bookmarkStart w:id="20" w:name="_Toc531180675"/>
      <w:bookmarkStart w:id="21" w:name="_Toc24854"/>
      <w:bookmarkStart w:id="22" w:name="_Toc421107730"/>
      <w:r>
        <w:rPr>
          <w:rFonts w:asciiTheme="minorEastAsia" w:hAnsiTheme="minorEastAsia" w:eastAsiaTheme="minorEastAsia" w:cstheme="minorEastAsia"/>
          <w:b/>
          <w:color w:val="auto"/>
          <w:sz w:val="24"/>
          <w:szCs w:val="24"/>
          <w:highlight w:val="none"/>
        </w:rPr>
        <w:br w:type="page"/>
      </w:r>
    </w:p>
    <w:p w14:paraId="768A93AF">
      <w:pPr>
        <w:snapToGrid w:val="0"/>
        <w:spacing w:line="360" w:lineRule="exact"/>
        <w:jc w:val="center"/>
        <w:outlineLvl w:val="1"/>
        <w:rPr>
          <w:rFonts w:asciiTheme="minorEastAsia" w:hAnsiTheme="minorEastAsia" w:eastAsiaTheme="minorEastAsia" w:cstheme="minorEastAsia"/>
          <w:b/>
          <w:color w:val="auto"/>
          <w:sz w:val="24"/>
          <w:szCs w:val="24"/>
          <w:highlight w:val="none"/>
        </w:rPr>
      </w:pPr>
      <w:bookmarkStart w:id="23" w:name="_Toc24435"/>
      <w:r>
        <w:rPr>
          <w:rFonts w:hint="eastAsia" w:asciiTheme="minorEastAsia" w:hAnsiTheme="minorEastAsia" w:eastAsiaTheme="minorEastAsia" w:cstheme="minorEastAsia"/>
          <w:b/>
          <w:color w:val="auto"/>
          <w:sz w:val="24"/>
          <w:szCs w:val="24"/>
          <w:highlight w:val="none"/>
        </w:rPr>
        <w:t>一、说明</w:t>
      </w:r>
      <w:bookmarkEnd w:id="20"/>
      <w:bookmarkEnd w:id="23"/>
    </w:p>
    <w:p w14:paraId="00F6BEB8">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 适用范围</w:t>
      </w:r>
    </w:p>
    <w:p w14:paraId="1AB3FC50">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本招标文件仅适用于招标邀请中所叙述项目的货物及服务采购。</w:t>
      </w:r>
    </w:p>
    <w:p w14:paraId="7D46F5B5">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 定义</w:t>
      </w:r>
    </w:p>
    <w:p w14:paraId="1DF9A7F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“采购人”系指本次采购项目的业主方。</w:t>
      </w:r>
    </w:p>
    <w:p w14:paraId="2FC6327A">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“代理机构”系指本次招标采购项目活动组织方。</w:t>
      </w:r>
    </w:p>
    <w:p w14:paraId="2425B4A8">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“投标人”系指购买了本招标文件，且已经提交或者准备提交本次投标文件的制造商或供货商。</w:t>
      </w:r>
    </w:p>
    <w:p w14:paraId="7FCDB04D">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“货物”系指投标人按招标文件规定向采购人提供的一切货物、备品备件、工具及其它有关技术资料和材料。</w:t>
      </w:r>
    </w:p>
    <w:p w14:paraId="6F80641F">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“服务”系指招标文件规定投标人须承担的调试、技术协助、校准、以及其他类似的义务。</w:t>
      </w:r>
    </w:p>
    <w:p w14:paraId="10A4DE78">
      <w:pPr>
        <w:pStyle w:val="52"/>
        <w:ind w:firstLine="600" w:firstLineChars="250"/>
        <w:rPr>
          <w:color w:val="auto"/>
          <w:highlight w:val="none"/>
        </w:rPr>
      </w:pPr>
      <w:r>
        <w:rPr>
          <w:rFonts w:hint="eastAsia" w:cs="宋体" w:asciiTheme="minorEastAsia" w:hAnsiTheme="minorEastAsia" w:eastAsiaTheme="minorEastAsia"/>
          <w:color w:val="auto"/>
          <w:sz w:val="24"/>
          <w:highlight w:val="none"/>
        </w:rPr>
        <w:t>2.6</w:t>
      </w:r>
      <w:r>
        <w:rPr>
          <w:rFonts w:cs="宋体" w:asciiTheme="minorEastAsia" w:hAnsiTheme="minorEastAsia" w:eastAsiaTheme="minorEastAsia"/>
          <w:color w:val="auto"/>
          <w:sz w:val="24"/>
          <w:highlight w:val="none"/>
        </w:rPr>
        <w:t>“单位负责人”指单位法定代表人（</w:t>
      </w:r>
      <w:r>
        <w:rPr>
          <w:rFonts w:hint="eastAsia" w:cs="宋体" w:asciiTheme="minorEastAsia" w:hAnsiTheme="minorEastAsia" w:eastAsiaTheme="minorEastAsia"/>
          <w:color w:val="auto"/>
          <w:sz w:val="24"/>
          <w:highlight w:val="none"/>
        </w:rPr>
        <w:t>投标人</w:t>
      </w:r>
      <w:r>
        <w:rPr>
          <w:rFonts w:cs="宋体" w:asciiTheme="minorEastAsia" w:hAnsiTheme="minorEastAsia" w:eastAsiaTheme="minorEastAsia"/>
          <w:color w:val="auto"/>
          <w:sz w:val="24"/>
          <w:highlight w:val="none"/>
        </w:rPr>
        <w:t>为法人的）或法律、法规规定代表单位行使职权的主要负责人（</w:t>
      </w:r>
      <w:r>
        <w:rPr>
          <w:rFonts w:hint="eastAsia" w:cs="宋体" w:asciiTheme="minorEastAsia" w:hAnsiTheme="minorEastAsia" w:eastAsiaTheme="minorEastAsia"/>
          <w:color w:val="auto"/>
          <w:sz w:val="24"/>
          <w:highlight w:val="none"/>
        </w:rPr>
        <w:t>投标人</w:t>
      </w:r>
      <w:r>
        <w:rPr>
          <w:rFonts w:cs="宋体" w:asciiTheme="minorEastAsia" w:hAnsiTheme="minorEastAsia" w:eastAsiaTheme="minorEastAsia"/>
          <w:color w:val="auto"/>
          <w:sz w:val="24"/>
          <w:highlight w:val="none"/>
        </w:rPr>
        <w:t>为其他组织的）。</w:t>
      </w:r>
    </w:p>
    <w:p w14:paraId="48B320B0">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 合格的投标人</w:t>
      </w:r>
    </w:p>
    <w:p w14:paraId="79DD6819">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投标人应符合投标人须知前附表第2项所规定的资格标准条件。</w:t>
      </w:r>
    </w:p>
    <w:p w14:paraId="28217CE1">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投标人应遵守中国的有关法律、法规和规章的规定。</w:t>
      </w:r>
    </w:p>
    <w:p w14:paraId="33B7D6D6">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3.3投标人不得与本次招标项下设计、编制技术规格和其它文件的公司或提供咨询服务的公司包括其附属机构有任何关联。</w:t>
      </w:r>
    </w:p>
    <w:p w14:paraId="0F90093B">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3.4 一个投标人只能提交一个投标文件。但如果投标人之间存在下列互为关联关系的情形之一的，不得同时参加本项目投标：</w:t>
      </w:r>
    </w:p>
    <w:p w14:paraId="339877E2">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（1）单位负责人为同一人的两个及两个以上法人；</w:t>
      </w:r>
    </w:p>
    <w:p w14:paraId="72C83580">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（2）母公司、直接或间接持股50％及以上的被投资公司;</w:t>
      </w:r>
    </w:p>
    <w:p w14:paraId="5886DA5C">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（3）均为同一家母公司直接或间接持股50％及以上的被投资公司。</w:t>
      </w:r>
    </w:p>
    <w:p w14:paraId="05F7333D">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3.5 招标代理人在同一个项目中只能接受一个投标人的委托参加投标。</w:t>
      </w:r>
    </w:p>
    <w:p w14:paraId="29DAD21C">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3.6 参加政府采购活动前三年内，在经营活动中没有重大违法记录。</w:t>
      </w:r>
    </w:p>
    <w:p w14:paraId="1F0653C2">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3.7 投标人应具备《中华人民共和国政府采购法》第二十二条规定的条件。</w:t>
      </w:r>
    </w:p>
    <w:p w14:paraId="5AC4A2D5">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 投标费用</w:t>
      </w:r>
    </w:p>
    <w:p w14:paraId="1630B426">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投标人自行承担其参加投标所涉及的一切费用。</w:t>
      </w:r>
    </w:p>
    <w:p w14:paraId="0FD7132D">
      <w:pPr>
        <w:spacing w:line="360" w:lineRule="exact"/>
        <w:jc w:val="center"/>
        <w:rPr>
          <w:rFonts w:asciiTheme="minorEastAsia" w:hAnsiTheme="minorEastAsia" w:eastAsiaTheme="minorEastAsia" w:cstheme="minorEastAsia"/>
          <w:b/>
          <w:bCs/>
          <w:color w:val="auto"/>
          <w:sz w:val="24"/>
          <w:szCs w:val="24"/>
          <w:highlight w:val="none"/>
        </w:rPr>
      </w:pPr>
      <w:bookmarkStart w:id="24" w:name="_Toc2312"/>
    </w:p>
    <w:p w14:paraId="2255479F">
      <w:pPr>
        <w:spacing w:line="360" w:lineRule="exact"/>
        <w:jc w:val="center"/>
        <w:outlineLvl w:val="1"/>
        <w:rPr>
          <w:rFonts w:asciiTheme="minorEastAsia" w:hAnsiTheme="minorEastAsia" w:eastAsiaTheme="minorEastAsia" w:cstheme="minorEastAsia"/>
          <w:b/>
          <w:color w:val="auto"/>
          <w:sz w:val="24"/>
          <w:szCs w:val="24"/>
          <w:highlight w:val="none"/>
        </w:rPr>
      </w:pPr>
      <w:bookmarkStart w:id="25" w:name="_Toc531180676"/>
      <w:bookmarkStart w:id="26" w:name="_Toc16475"/>
      <w:r>
        <w:rPr>
          <w:rFonts w:hint="eastAsia" w:asciiTheme="minorEastAsia" w:hAnsiTheme="minorEastAsia" w:eastAsiaTheme="minorEastAsia" w:cstheme="minorEastAsia"/>
          <w:b/>
          <w:bCs/>
          <w:color w:val="auto"/>
          <w:sz w:val="24"/>
          <w:szCs w:val="24"/>
          <w:highlight w:val="none"/>
        </w:rPr>
        <w:t>二、招标文件</w:t>
      </w:r>
      <w:bookmarkEnd w:id="24"/>
      <w:bookmarkEnd w:id="25"/>
      <w:bookmarkEnd w:id="26"/>
    </w:p>
    <w:p w14:paraId="6FFC2524">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 招标文件的组成</w:t>
      </w:r>
    </w:p>
    <w:p w14:paraId="7307957F">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招标文件用以阐明所需货物及服务招标程序和合同主要条款。招标文件由下述部分组成：</w:t>
      </w:r>
    </w:p>
    <w:p w14:paraId="58A626D1">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（1）招标邀请</w:t>
      </w:r>
    </w:p>
    <w:p w14:paraId="429ED835">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（2）投标人须知 </w:t>
      </w:r>
    </w:p>
    <w:p w14:paraId="39EF3AEF">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（3）招标内容及要求</w:t>
      </w:r>
    </w:p>
    <w:p w14:paraId="126992D7">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bCs/>
          <w:color w:val="auto"/>
          <w:sz w:val="24"/>
          <w:szCs w:val="24"/>
          <w:highlight w:val="none"/>
        </w:rPr>
        <w:t>合同主要条款</w:t>
      </w:r>
    </w:p>
    <w:p w14:paraId="41424846">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（5）投标文件格式</w:t>
      </w:r>
    </w:p>
    <w:p w14:paraId="27EC08A7">
      <w:pPr>
        <w:spacing w:line="360" w:lineRule="exact"/>
        <w:rPr>
          <w:rFonts w:asciiTheme="minorEastAsia" w:hAnsiTheme="minorEastAsia" w:eastAsiaTheme="minorEastAsia" w:cstheme="minorEastAsia"/>
          <w:b/>
          <w:bCs/>
          <w:color w:val="auto"/>
          <w:sz w:val="24"/>
          <w:szCs w:val="24"/>
          <w:highlight w:val="none"/>
        </w:rPr>
      </w:pPr>
      <w:bookmarkStart w:id="27" w:name="_Toc430492126"/>
      <w:bookmarkStart w:id="28" w:name="_Toc430488644"/>
      <w:bookmarkStart w:id="29" w:name="_Toc430488851"/>
      <w:bookmarkStart w:id="30" w:name="_Toc415567497"/>
      <w:bookmarkStart w:id="31" w:name="_Toc430490612"/>
      <w:bookmarkStart w:id="32" w:name="_Toc430489119"/>
      <w:bookmarkStart w:id="33" w:name="_Toc430422413"/>
      <w:r>
        <w:rPr>
          <w:rFonts w:hint="eastAsia" w:asciiTheme="minorEastAsia" w:hAnsiTheme="minorEastAsia" w:eastAsiaTheme="minorEastAsia" w:cstheme="minorEastAsia"/>
          <w:b/>
          <w:bCs/>
          <w:color w:val="auto"/>
          <w:sz w:val="24"/>
          <w:szCs w:val="24"/>
          <w:highlight w:val="none"/>
        </w:rPr>
        <w:t>6.</w:t>
      </w:r>
      <w:bookmarkEnd w:id="27"/>
      <w:bookmarkEnd w:id="28"/>
      <w:bookmarkEnd w:id="29"/>
      <w:bookmarkEnd w:id="30"/>
      <w:bookmarkEnd w:id="31"/>
      <w:bookmarkEnd w:id="32"/>
      <w:bookmarkEnd w:id="33"/>
      <w:r>
        <w:rPr>
          <w:rFonts w:hint="eastAsia" w:asciiTheme="minorEastAsia" w:hAnsiTheme="minorEastAsia" w:eastAsiaTheme="minorEastAsia" w:cstheme="minorEastAsia"/>
          <w:b/>
          <w:bCs/>
          <w:color w:val="auto"/>
          <w:sz w:val="24"/>
          <w:szCs w:val="24"/>
          <w:highlight w:val="none"/>
        </w:rPr>
        <w:t xml:space="preserve"> 招标文件的澄清</w:t>
      </w:r>
    </w:p>
    <w:p w14:paraId="15F64B18">
      <w:pPr>
        <w:spacing w:line="360" w:lineRule="exact"/>
        <w:ind w:firstLine="480" w:firstLineChars="200"/>
        <w:rPr>
          <w:rFonts w:asciiTheme="minorEastAsia" w:hAnsiTheme="minorEastAsia" w:eastAsiaTheme="minorEastAsia" w:cstheme="minorEastAsia"/>
          <w:color w:val="auto"/>
          <w:sz w:val="24"/>
          <w:szCs w:val="24"/>
          <w:highlight w:val="none"/>
        </w:rPr>
      </w:pPr>
      <w:bookmarkStart w:id="34" w:name="_Toc430490613"/>
      <w:bookmarkStart w:id="35" w:name="_Toc430488645"/>
      <w:bookmarkStart w:id="36" w:name="_Toc430489120"/>
      <w:bookmarkStart w:id="37" w:name="_Toc415567498"/>
      <w:bookmarkStart w:id="38" w:name="_Toc430422414"/>
      <w:bookmarkStart w:id="39" w:name="_Toc430492127"/>
      <w:bookmarkStart w:id="40" w:name="_Toc430488852"/>
      <w:r>
        <w:rPr>
          <w:rFonts w:hint="eastAsia" w:asciiTheme="minorEastAsia" w:hAnsiTheme="minorEastAsia" w:eastAsiaTheme="minorEastAsia" w:cstheme="minorEastAsia"/>
          <w:color w:val="auto"/>
          <w:sz w:val="24"/>
          <w:szCs w:val="24"/>
          <w:highlight w:val="none"/>
        </w:rPr>
        <w:t>6.1  投标人对招标文件提出质疑，应以书面形式原件并携带单位负责人授权书原件、授权代表身份证复印件、企业营业执照副本复印件、税务登记证副本复印件、组织机构代码证复印件并加盖投标人公章，送达福建华真招标代理有限公司。</w:t>
      </w:r>
    </w:p>
    <w:p w14:paraId="6ED418FB">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  质疑的内容须提供事实依据，投标人在报名之日起7个工作日内, 未以书面形式（有效签名的原件并加盖投标人公章）提出疑义的视为认同本招标文件中所有条款，今后将无权提出任何疑义。</w:t>
      </w:r>
    </w:p>
    <w:p w14:paraId="740BE92B">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  投标人需在法定质疑期内一次性提出针对同一招标程序环节质疑，否则重复提交的质疑函将不予接收。</w:t>
      </w:r>
    </w:p>
    <w:p w14:paraId="3AF283F6">
      <w:pPr>
        <w:widowControl/>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6.4质疑书格式如下：</w:t>
      </w:r>
    </w:p>
    <w:tbl>
      <w:tblPr>
        <w:tblStyle w:val="5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0"/>
      </w:tblGrid>
      <w:tr w14:paraId="1276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20" w:type="dxa"/>
            <w:tcBorders>
              <w:top w:val="single" w:color="auto" w:sz="4" w:space="0"/>
              <w:left w:val="single" w:color="auto" w:sz="4" w:space="0"/>
              <w:bottom w:val="single" w:color="auto" w:sz="4" w:space="0"/>
              <w:right w:val="single" w:color="auto" w:sz="4" w:space="0"/>
            </w:tcBorders>
          </w:tcPr>
          <w:p w14:paraId="00C543B5">
            <w:pPr>
              <w:spacing w:line="360" w:lineRule="exact"/>
              <w:ind w:left="1" w:hanging="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质 疑 书</w:t>
            </w:r>
          </w:p>
          <w:p w14:paraId="7BB3C974">
            <w:pPr>
              <w:spacing w:line="360" w:lineRule="exact"/>
              <w:ind w:left="1" w:hanging="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(招标代理机构名称)：</w:t>
            </w:r>
          </w:p>
          <w:p w14:paraId="49F70D8E">
            <w:pPr>
              <w:spacing w:line="360" w:lineRule="exact"/>
              <w:ind w:left="1" w:firstLine="480" w:firstLineChars="20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我方认为项目的招标活动中有几个内容损害了我公司的权益，现以书面原件形式提出质疑，并</w:t>
            </w:r>
            <w:r>
              <w:rPr>
                <w:rFonts w:hint="eastAsia" w:asciiTheme="minorEastAsia" w:hAnsiTheme="minorEastAsia" w:eastAsiaTheme="minorEastAsia" w:cstheme="minorEastAsia"/>
                <w:color w:val="auto"/>
                <w:kern w:val="0"/>
                <w:sz w:val="24"/>
                <w:szCs w:val="24"/>
                <w:highlight w:val="none"/>
              </w:rPr>
              <w:t>提出以下请求和提供必要的证明材料。质疑的事实和理由：</w:t>
            </w:r>
          </w:p>
          <w:p w14:paraId="5E7AA822">
            <w:pPr>
              <w:spacing w:line="360" w:lineRule="exact"/>
              <w:ind w:left="1" w:firstLine="468" w:firstLineChars="19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 xml:space="preserve">  (事宜经过)            </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 xml:space="preserve">  (事宜经过)            </w:t>
            </w:r>
            <w:r>
              <w:rPr>
                <w:rFonts w:hint="eastAsia" w:asciiTheme="minorEastAsia" w:hAnsiTheme="minorEastAsia" w:eastAsiaTheme="minorEastAsia" w:cstheme="minorEastAsia"/>
                <w:color w:val="auto"/>
                <w:sz w:val="24"/>
                <w:szCs w:val="24"/>
                <w:highlight w:val="none"/>
              </w:rPr>
              <w:t>；……</w:t>
            </w:r>
          </w:p>
          <w:p w14:paraId="07BDEC8B">
            <w:pPr>
              <w:spacing w:line="360" w:lineRule="exact"/>
              <w:ind w:left="1" w:firstLine="468" w:firstLineChars="195"/>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我们认为，以上几项，违背了法律法规的有关规定，其中第1项违背《</w:t>
            </w:r>
            <w:r>
              <w:rPr>
                <w:rFonts w:hint="eastAsia" w:asciiTheme="minorEastAsia" w:hAnsiTheme="minorEastAsia" w:eastAsiaTheme="minorEastAsia" w:cstheme="minorEastAsia"/>
                <w:color w:val="auto"/>
                <w:sz w:val="24"/>
                <w:szCs w:val="24"/>
                <w:highlight w:val="none"/>
                <w:u w:val="single"/>
              </w:rPr>
              <w:t xml:space="preserve">           法</w:t>
            </w:r>
            <w:r>
              <w:rPr>
                <w:rFonts w:hint="eastAsia" w:asciiTheme="minorEastAsia" w:hAnsiTheme="minorEastAsia" w:eastAsiaTheme="minorEastAsia" w:cstheme="minorEastAsia"/>
                <w:color w:val="auto"/>
                <w:sz w:val="24"/>
                <w:szCs w:val="24"/>
                <w:highlight w:val="none"/>
              </w:rPr>
              <w:t>》第条的“”规定，第2项违背《</w:t>
            </w:r>
            <w:r>
              <w:rPr>
                <w:rFonts w:hint="eastAsia" w:asciiTheme="minorEastAsia" w:hAnsiTheme="minorEastAsia" w:eastAsiaTheme="minorEastAsia" w:cstheme="minorEastAsia"/>
                <w:color w:val="auto"/>
                <w:sz w:val="24"/>
                <w:szCs w:val="24"/>
                <w:highlight w:val="none"/>
                <w:u w:val="single"/>
              </w:rPr>
              <w:t xml:space="preserve">              法</w:t>
            </w:r>
            <w:r>
              <w:rPr>
                <w:rFonts w:hint="eastAsia" w:asciiTheme="minorEastAsia" w:hAnsiTheme="minorEastAsia" w:eastAsiaTheme="minorEastAsia" w:cstheme="minorEastAsia"/>
                <w:color w:val="auto"/>
                <w:sz w:val="24"/>
                <w:szCs w:val="24"/>
                <w:highlight w:val="none"/>
              </w:rPr>
              <w:t>》第条的规定，请予审查纠正为盼。</w:t>
            </w:r>
          </w:p>
          <w:p w14:paraId="7514C041">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投标人：(全称并加</w:t>
            </w:r>
            <w:r>
              <w:rPr>
                <w:rFonts w:hint="eastAsia" w:asciiTheme="minorEastAsia" w:hAnsiTheme="minorEastAsia" w:eastAsiaTheme="minorEastAsia" w:cstheme="minorEastAsia"/>
                <w:color w:val="auto"/>
                <w:sz w:val="24"/>
                <w:szCs w:val="24"/>
                <w:highlight w:val="none"/>
                <w:u w:val="single"/>
              </w:rPr>
              <w:t>盖</w:t>
            </w:r>
            <w:r>
              <w:rPr>
                <w:rFonts w:hint="eastAsia" w:asciiTheme="minorEastAsia" w:hAnsiTheme="minorEastAsia" w:eastAsiaTheme="minorEastAsia" w:cstheme="minorEastAsia"/>
                <w:color w:val="auto"/>
                <w:sz w:val="24"/>
                <w:szCs w:val="24"/>
                <w:highlight w:val="none"/>
              </w:rPr>
              <w:t>投标人公章)</w:t>
            </w:r>
          </w:p>
          <w:p w14:paraId="2CC53670">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单位负责人签字：</w:t>
            </w:r>
          </w:p>
          <w:p w14:paraId="1BF33085">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代理人签字：</w:t>
            </w:r>
          </w:p>
          <w:p w14:paraId="65DB1CF2">
            <w:pPr>
              <w:spacing w:line="36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地址：联系电话：</w:t>
            </w:r>
          </w:p>
          <w:p w14:paraId="43CBF409">
            <w:pPr>
              <w:spacing w:line="36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邮编：传真：</w:t>
            </w:r>
          </w:p>
          <w:p w14:paraId="2C8F7342">
            <w:pPr>
              <w:spacing w:line="360" w:lineRule="exact"/>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 xml:space="preserve">                             日期：</w:t>
            </w:r>
          </w:p>
          <w:p w14:paraId="3C3BB20E">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注：投标人提供的资料应包括但不限于以下内容：</w:t>
            </w:r>
          </w:p>
          <w:p w14:paraId="053E7DC7">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1.投标人提出质疑时，应提交质疑函和必要的证明材料。</w:t>
            </w:r>
          </w:p>
          <w:p w14:paraId="62DDB043">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若委托代理人进行质疑的，质疑函应按要求列明“授权代表”的有关内容，并在附件中提交由投标人签署的授权委托书。授权委托书应载明代理人的姓名或者名称、代理事项、具体权限、期限和相关事项。</w:t>
            </w:r>
          </w:p>
          <w:p w14:paraId="49DE398D">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3.质疑函的质疑事项应具体、明确，并有必要的事实依据和法律依据。</w:t>
            </w:r>
          </w:p>
          <w:p w14:paraId="12BF5E39">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4.质疑函的质疑请求应与质疑事项相关。</w:t>
            </w:r>
          </w:p>
        </w:tc>
      </w:tr>
    </w:tbl>
    <w:p w14:paraId="2BAD1B0D">
      <w:pPr>
        <w:spacing w:line="360" w:lineRule="exact"/>
        <w:rPr>
          <w:rFonts w:asciiTheme="minorEastAsia" w:hAnsiTheme="minorEastAsia" w:eastAsiaTheme="minorEastAsia" w:cstheme="minorEastAsia"/>
          <w:b/>
          <w:bCs/>
          <w:color w:val="auto"/>
          <w:sz w:val="24"/>
          <w:szCs w:val="24"/>
          <w:highlight w:val="none"/>
        </w:rPr>
      </w:pPr>
    </w:p>
    <w:p w14:paraId="493E8CDE">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7. 招标文件的修改</w:t>
      </w:r>
      <w:bookmarkEnd w:id="34"/>
      <w:bookmarkEnd w:id="35"/>
      <w:bookmarkEnd w:id="36"/>
      <w:bookmarkEnd w:id="37"/>
      <w:bookmarkEnd w:id="38"/>
      <w:bookmarkEnd w:id="39"/>
      <w:bookmarkEnd w:id="40"/>
    </w:p>
    <w:p w14:paraId="44D29595">
      <w:pPr>
        <w:snapToGrid w:val="0"/>
        <w:spacing w:line="360" w:lineRule="exact"/>
        <w:ind w:firstLine="480" w:firstLineChars="200"/>
        <w:rPr>
          <w:rFonts w:asciiTheme="minorEastAsia" w:hAnsiTheme="minorEastAsia" w:eastAsiaTheme="minorEastAsia" w:cstheme="minorEastAsia"/>
          <w:color w:val="auto"/>
          <w:sz w:val="24"/>
          <w:szCs w:val="24"/>
          <w:highlight w:val="none"/>
        </w:rPr>
      </w:pPr>
      <w:bookmarkStart w:id="41" w:name="_Toc322791701"/>
      <w:r>
        <w:rPr>
          <w:rFonts w:hint="eastAsia" w:asciiTheme="minorEastAsia" w:hAnsiTheme="minorEastAsia" w:eastAsiaTheme="minorEastAsia" w:cstheme="minorEastAsia"/>
          <w:color w:val="auto"/>
          <w:sz w:val="24"/>
          <w:szCs w:val="24"/>
          <w:highlight w:val="none"/>
        </w:rPr>
        <w:t>7.1 修改内容为招标文件的组成部分，对投标人具有约束力。</w:t>
      </w:r>
      <w:bookmarkEnd w:id="41"/>
    </w:p>
    <w:p w14:paraId="18FD5E19">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招标代理机构可酌情推迟投标截止时间和开标时间，但应当至少在投标截止时间15日前将变更时间以书面形式通知所有投标人。该修改内容为招标文件的组成部分。</w:t>
      </w:r>
    </w:p>
    <w:p w14:paraId="39C85B6A">
      <w:pPr>
        <w:snapToGrid w:val="0"/>
        <w:spacing w:line="360" w:lineRule="exact"/>
        <w:rPr>
          <w:rFonts w:asciiTheme="minorEastAsia" w:hAnsiTheme="minorEastAsia" w:eastAsiaTheme="minorEastAsia" w:cstheme="minorEastAsia"/>
          <w:color w:val="auto"/>
          <w:sz w:val="24"/>
          <w:szCs w:val="24"/>
          <w:highlight w:val="none"/>
        </w:rPr>
      </w:pPr>
    </w:p>
    <w:p w14:paraId="7758F98E">
      <w:pPr>
        <w:spacing w:line="360" w:lineRule="exact"/>
        <w:jc w:val="center"/>
        <w:outlineLvl w:val="1"/>
        <w:rPr>
          <w:rFonts w:asciiTheme="minorEastAsia" w:hAnsiTheme="minorEastAsia" w:eastAsiaTheme="minorEastAsia" w:cstheme="minorEastAsia"/>
          <w:b/>
          <w:color w:val="auto"/>
          <w:sz w:val="24"/>
          <w:szCs w:val="24"/>
          <w:highlight w:val="none"/>
        </w:rPr>
      </w:pPr>
      <w:bookmarkStart w:id="42" w:name="_Toc531180677"/>
      <w:bookmarkStart w:id="43" w:name="_Toc1185"/>
      <w:bookmarkStart w:id="44" w:name="_Toc421107724"/>
      <w:bookmarkStart w:id="45" w:name="_Toc27883"/>
      <w:r>
        <w:rPr>
          <w:rFonts w:hint="eastAsia" w:asciiTheme="minorEastAsia" w:hAnsiTheme="minorEastAsia" w:eastAsiaTheme="minorEastAsia" w:cstheme="minorEastAsia"/>
          <w:b/>
          <w:color w:val="auto"/>
          <w:sz w:val="24"/>
          <w:szCs w:val="24"/>
          <w:highlight w:val="none"/>
        </w:rPr>
        <w:t>三、投标文件的编写</w:t>
      </w:r>
      <w:bookmarkEnd w:id="42"/>
      <w:bookmarkEnd w:id="43"/>
      <w:bookmarkEnd w:id="44"/>
      <w:bookmarkEnd w:id="45"/>
    </w:p>
    <w:p w14:paraId="35A750F4">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 要求</w:t>
      </w:r>
    </w:p>
    <w:p w14:paraId="796B1C60">
      <w:pPr>
        <w:spacing w:line="36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投标人应仔细阅读招标文件的所有内容，按照招标文件的要求提交投标文件。投标文件应对招标文件的要求做出实质性响应，并保证所提供的全部资料的真实性，否则其投标文件将被拒绝。</w:t>
      </w:r>
    </w:p>
    <w:p w14:paraId="23A619C4">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9. 投标文件语言</w:t>
      </w:r>
    </w:p>
    <w:p w14:paraId="01A90889">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投标文件应用中文书写。投标文件中所附或所引用的原件不是中文时，应附中文译本。各种计量单位及符号应采用国际上统一使用的公制计量单位和符号。</w:t>
      </w:r>
    </w:p>
    <w:p w14:paraId="2474A1FE">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10.投标文件的组成</w:t>
      </w:r>
    </w:p>
    <w:p w14:paraId="562730AB">
      <w:pPr>
        <w:tabs>
          <w:tab w:val="left" w:pos="360"/>
        </w:tabs>
        <w:spacing w:line="360" w:lineRule="exact"/>
        <w:ind w:firstLine="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详见第五章投标文件格式</w:t>
      </w:r>
    </w:p>
    <w:p w14:paraId="5D8CF601">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11. 投标有效期</w:t>
      </w:r>
    </w:p>
    <w:p w14:paraId="0F56A0E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投标文件从</w:t>
      </w:r>
      <w:r>
        <w:rPr>
          <w:rFonts w:hint="eastAsia" w:asciiTheme="minorEastAsia" w:hAnsiTheme="minorEastAsia" w:eastAsiaTheme="minorEastAsia" w:cstheme="minorEastAsia"/>
          <w:bCs/>
          <w:color w:val="auto"/>
          <w:sz w:val="24"/>
          <w:szCs w:val="24"/>
          <w:highlight w:val="none"/>
        </w:rPr>
        <w:t>投标人须知前附表</w:t>
      </w:r>
      <w:r>
        <w:rPr>
          <w:rFonts w:hint="eastAsia" w:asciiTheme="minorEastAsia" w:hAnsiTheme="minorEastAsia" w:eastAsiaTheme="minorEastAsia" w:cstheme="minorEastAsia"/>
          <w:color w:val="auto"/>
          <w:sz w:val="24"/>
          <w:szCs w:val="24"/>
          <w:highlight w:val="none"/>
        </w:rPr>
        <w:t>第4项所规定的投标截止期之后开始生效，在</w:t>
      </w:r>
      <w:r>
        <w:rPr>
          <w:rFonts w:hint="eastAsia" w:asciiTheme="minorEastAsia" w:hAnsiTheme="minorEastAsia" w:eastAsiaTheme="minorEastAsia" w:cstheme="minorEastAsia"/>
          <w:bCs/>
          <w:color w:val="auto"/>
          <w:sz w:val="24"/>
          <w:szCs w:val="24"/>
          <w:highlight w:val="none"/>
        </w:rPr>
        <w:t>投标人须知前附表</w:t>
      </w:r>
      <w:r>
        <w:rPr>
          <w:rFonts w:hint="eastAsia" w:asciiTheme="minorEastAsia" w:hAnsiTheme="minorEastAsia" w:eastAsiaTheme="minorEastAsia" w:cstheme="minorEastAsia"/>
          <w:color w:val="auto"/>
          <w:sz w:val="24"/>
          <w:szCs w:val="24"/>
          <w:highlight w:val="none"/>
        </w:rPr>
        <w:t>第3项所规定的期限内保持有效。有效期不足将导致其投标文件被拒绝。</w:t>
      </w:r>
    </w:p>
    <w:p w14:paraId="4D5CDD7E">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 特殊情况下福建华真招标代理有限公司可于投标有效期满之前书面要求投标人同意延长有效期，投标人应在福建华真招标代理有限公司规定的期限内以书面形式予以答复。投标人可以拒绝上述要求而其投标保证金可按规定予以退还。投标人答复不明确或者逾期未答复的，均视为拒绝上述要求。对于接受该要求的投标人，既不要求也不允许其修改招标文件，但有关退还或不予退还投标保证金的规定在投标有效期延长期内继续有效。</w:t>
      </w:r>
    </w:p>
    <w:p w14:paraId="77AE44D1">
      <w:pPr>
        <w:spacing w:line="36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12. 投标保证金</w:t>
      </w:r>
    </w:p>
    <w:p w14:paraId="1EF41C0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 投标保证金为投标文件的组成部分之一。</w:t>
      </w:r>
    </w:p>
    <w:p w14:paraId="3462688F">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 投标人应在提交投标文件之前向福建华真招标代理有限公司缴交投标人须知前附表第5项要求的投标保证金。</w:t>
      </w:r>
    </w:p>
    <w:p w14:paraId="25B72BE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 投标保证金用于保护本次招标活动免受投标人的行为而引起的风险。</w:t>
      </w:r>
    </w:p>
    <w:p w14:paraId="5E822DD4">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 保证金的形式：以公司名义按银行转账、电汇等非现金方式（不接受现金、现金存款方式）。</w:t>
      </w:r>
    </w:p>
    <w:p w14:paraId="1FAE10CE">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 未按规定缴交投标保证金的投标，将被视为无效投标。</w:t>
      </w:r>
    </w:p>
    <w:p w14:paraId="182F982A">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 福建华真招标代理有限公司将在中标通知书发出后予以原额无息退还中标人以外的投标人的投标保证金。投标人应向福建华真招标代理有限公司提供《退回保证金申请函》及开户许可证复印件并加盖公章办理退还投标保证金手续。</w:t>
      </w:r>
    </w:p>
    <w:p w14:paraId="4C7BFD62">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 在中标人签订合同后5个工作日内，中标人的投标保证金予以原额无息退还。</w:t>
      </w:r>
    </w:p>
    <w:p w14:paraId="6F184F7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 发生以下情况之一的，投标保证金将不予退还：</w:t>
      </w:r>
    </w:p>
    <w:p w14:paraId="02745000">
      <w:pPr>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（1）中标人在投标截止期后，投标有效期内撤回投标；</w:t>
      </w:r>
    </w:p>
    <w:p w14:paraId="36AE1F38">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（2）中标人未能做到按本须知第22条规定签订合同；</w:t>
      </w:r>
    </w:p>
    <w:p w14:paraId="723EC99A">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（3）中标人未按投标人须知前附表规定缴纳成交服务费；</w:t>
      </w:r>
    </w:p>
    <w:p w14:paraId="3D10F9B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（4）以他人名义投标或者以其他方式弄虚作假，骗取成交；</w:t>
      </w:r>
    </w:p>
    <w:p w14:paraId="4401798B">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（5）本招标文件中规定的其他没收投标保证金的情形。</w:t>
      </w:r>
    </w:p>
    <w:p w14:paraId="66F6C6C0">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上述不予退还投标保证金的情况给采购单位造成损失的，还要承担赔偿责任。</w:t>
      </w:r>
    </w:p>
    <w:p w14:paraId="200D2788">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13、投标文件的编制</w:t>
      </w:r>
    </w:p>
    <w:p w14:paraId="48758C21">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13.1  投标文件的装订：投标人须按本招标文件中第五章第一册“报价部分”和第二册“技术商务部分”要求规定的内容和顺序分别编制和单独装订投标文件：</w:t>
      </w:r>
    </w:p>
    <w:p w14:paraId="531E0A7A">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报价部分投标文件要求独立编制：投标文件正本一份，副本五份。正本必须用A4幅面纸张打印，应编制封面、目录、页码。副本可以用正本的完整复印件。正、副本均须胶装（永久性、无破坏不可拆分）装订成册，逐页加盖投标人单位公章并加盖骑缝章。封面须标明“正本”、“副本”字样。正本与副本如有不一致，则以正本为准。（请各投标人特别注意）</w:t>
      </w:r>
    </w:p>
    <w:p w14:paraId="5926FB17">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技术商务部分投标文件要求独立编制：正本一份，副本五份。正本必须用A4幅面纸张打印，应编制封面、目录、页码。副本可以用正本的完整复印件。正、副本均须胶装（永久性、无破坏不可拆分）装订成册，逐页加盖投标人单位公章并加盖骑缝章。封面须标明“正本”、“副本”字样。正本与副本如有不一致，则以正本为准。</w:t>
      </w:r>
    </w:p>
    <w:p w14:paraId="31DC4E97">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投标人在投标时，需提交一套全部投标文件盖章并扫描内容的电子文件（U盘），与投标文件正本一致。</w:t>
      </w:r>
    </w:p>
    <w:p w14:paraId="1E81E304">
      <w:pPr>
        <w:spacing w:line="360" w:lineRule="exact"/>
        <w:ind w:firstLine="482" w:firstLineChars="200"/>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★未按以上规定编制装订者其投标将被视为投标无效。（请各投标人特别注意）</w:t>
      </w:r>
    </w:p>
    <w:p w14:paraId="51A1E7BC">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13.2 投标文件应由投标人的单位负责人或者其授权的代表签字，如由后者签字，应提供“单位负责人授权委托书”。</w:t>
      </w:r>
    </w:p>
    <w:p w14:paraId="159948E4">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13.3 除非有另外的规定或许可，投标货币为人民币。</w:t>
      </w:r>
    </w:p>
    <w:p w14:paraId="02127080">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13.4 投标人应提交证明其提供材料符合招标文件要求的技术投标文件，该文件可以是文字资料、图纸和数据，并须提供货物主要技术性能的详细描述。</w:t>
      </w:r>
    </w:p>
    <w:p w14:paraId="10C532EB">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13.5 投标文件的正本和全部副本均应使用不能擦去的墨料或墨水打印、书写或复印，并由单位负责人或其授权代表签署，盖投标人公章。</w:t>
      </w:r>
    </w:p>
    <w:p w14:paraId="51EA04CF">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13.6 未按本须知规定的格式填写投标文件、投标文件字迹模糊不清的，其投标被拒绝。</w:t>
      </w:r>
    </w:p>
    <w:p w14:paraId="6FF99BD4">
      <w:pPr>
        <w:spacing w:line="360" w:lineRule="exact"/>
        <w:ind w:left="1"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13.7 所有证明文件复印件须注明“与原件一致”并加盖投标人公章，否则按无效标处理。</w:t>
      </w:r>
    </w:p>
    <w:p w14:paraId="63A19D99">
      <w:pPr>
        <w:spacing w:line="360" w:lineRule="exact"/>
        <w:jc w:val="center"/>
        <w:outlineLvl w:val="1"/>
        <w:rPr>
          <w:rFonts w:asciiTheme="minorEastAsia" w:hAnsiTheme="minorEastAsia" w:eastAsiaTheme="minorEastAsia" w:cstheme="minorEastAsia"/>
          <w:b/>
          <w:color w:val="auto"/>
          <w:sz w:val="24"/>
          <w:szCs w:val="24"/>
          <w:highlight w:val="none"/>
        </w:rPr>
      </w:pPr>
      <w:bookmarkStart w:id="46" w:name="_Toc27915"/>
      <w:bookmarkStart w:id="47" w:name="_Toc421107725"/>
      <w:bookmarkStart w:id="48" w:name="_Toc531180678"/>
    </w:p>
    <w:p w14:paraId="72D26ABE">
      <w:pPr>
        <w:spacing w:line="360" w:lineRule="exact"/>
        <w:jc w:val="center"/>
        <w:outlineLvl w:val="1"/>
        <w:rPr>
          <w:rFonts w:asciiTheme="minorEastAsia" w:hAnsiTheme="minorEastAsia" w:eastAsiaTheme="minorEastAsia" w:cstheme="minorEastAsia"/>
          <w:b/>
          <w:color w:val="auto"/>
          <w:sz w:val="24"/>
          <w:szCs w:val="24"/>
          <w:highlight w:val="none"/>
        </w:rPr>
      </w:pPr>
      <w:bookmarkStart w:id="49" w:name="_Toc30549"/>
      <w:r>
        <w:rPr>
          <w:rFonts w:hint="eastAsia" w:asciiTheme="minorEastAsia" w:hAnsiTheme="minorEastAsia" w:eastAsiaTheme="minorEastAsia" w:cstheme="minorEastAsia"/>
          <w:b/>
          <w:color w:val="auto"/>
          <w:sz w:val="24"/>
          <w:szCs w:val="24"/>
          <w:highlight w:val="none"/>
        </w:rPr>
        <w:t>四、投标文件的提交</w:t>
      </w:r>
      <w:bookmarkEnd w:id="46"/>
      <w:bookmarkEnd w:id="47"/>
      <w:bookmarkEnd w:id="48"/>
      <w:bookmarkEnd w:id="49"/>
    </w:p>
    <w:p w14:paraId="1E0F24A6">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投标文件的密封、标记和递交</w:t>
      </w:r>
    </w:p>
    <w:p w14:paraId="5F58DF0B">
      <w:pPr>
        <w:spacing w:line="360" w:lineRule="exact"/>
        <w:ind w:firstLine="4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14.1 投标人应将报价标与技术商务标分开单独密封。投标人应将报价标与技术商务标正本和全部副本及分别用信封密封，并标明招标编号、投标人名称、投标项目名称及“正本”或“副本”字样。报价标与技术商务标未密封将导致投标被拒绝。</w:t>
      </w:r>
    </w:p>
    <w:p w14:paraId="734D05EB">
      <w:pPr>
        <w:spacing w:line="360" w:lineRule="exact"/>
        <w:ind w:firstLine="470" w:firstLineChars="19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14.2 每一信封密封处应注明“于年月日之前（指招标邀请中规定的开标日期及时间）不准启封”的字样，并加盖投标人公章。</w:t>
      </w:r>
    </w:p>
    <w:p w14:paraId="3146CE88">
      <w:pPr>
        <w:spacing w:line="360" w:lineRule="exact"/>
        <w:ind w:firstLine="470" w:firstLineChars="196"/>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招标编号：</w:t>
      </w:r>
    </w:p>
    <w:p w14:paraId="6F73AAF3">
      <w:pPr>
        <w:spacing w:line="360" w:lineRule="exact"/>
        <w:ind w:firstLine="470" w:firstLineChars="19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p w14:paraId="57E6C550">
      <w:pPr>
        <w:spacing w:line="360" w:lineRule="exact"/>
        <w:ind w:firstLine="470" w:firstLineChars="196"/>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u w:val="single"/>
        </w:rPr>
        <w:t xml:space="preserve">                      单位全称（盖单位章）             </w:t>
      </w:r>
    </w:p>
    <w:p w14:paraId="5208EB45">
      <w:pPr>
        <w:spacing w:line="360" w:lineRule="exact"/>
        <w:ind w:firstLine="470" w:firstLineChars="196"/>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单位负责人或委托代理人签字：</w:t>
      </w:r>
    </w:p>
    <w:p w14:paraId="28D6A5D1">
      <w:pPr>
        <w:spacing w:line="360" w:lineRule="exact"/>
        <w:ind w:firstLine="470" w:firstLineChars="196"/>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投标人地址：</w:t>
      </w:r>
    </w:p>
    <w:p w14:paraId="46C06C2D">
      <w:pPr>
        <w:spacing w:line="360" w:lineRule="exact"/>
        <w:ind w:firstLine="470" w:firstLineChars="196"/>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联系人及联系电话：</w:t>
      </w:r>
    </w:p>
    <w:p w14:paraId="2DBB77B3">
      <w:pPr>
        <w:spacing w:line="360" w:lineRule="exact"/>
        <w:ind w:firstLine="470" w:firstLineChars="19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注明：</w:t>
      </w:r>
      <w:r>
        <w:rPr>
          <w:rFonts w:hint="eastAsia" w:asciiTheme="minorEastAsia" w:hAnsiTheme="minorEastAsia" w:eastAsiaTheme="minorEastAsia" w:cstheme="minorEastAsia"/>
          <w:color w:val="auto"/>
          <w:sz w:val="24"/>
          <w:szCs w:val="24"/>
          <w:highlight w:val="none"/>
          <w:u w:val="single"/>
        </w:rPr>
        <w:t xml:space="preserve">在     年     月     日    前不得开启                  </w:t>
      </w:r>
    </w:p>
    <w:p w14:paraId="453C952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14.3 如果未按上述规定进行密封和标记，福建华真招标代理有限公司将不承担由此造成的对投标文件的误投或提前拆封的责任。</w:t>
      </w:r>
    </w:p>
    <w:p w14:paraId="4EDB29AD">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14.4 投标文件应在投标邀请中规定的截止时间前送达，迟到的投标文件为无效投标文件, 将被拒收。</w:t>
      </w:r>
    </w:p>
    <w:p w14:paraId="7A7DB0DD">
      <w:pPr>
        <w:tabs>
          <w:tab w:val="left" w:pos="540"/>
        </w:tabs>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14.5 投标人在投标截止时间前，可以对所提交的投标文件进行修改或者撤回，并书面通知福建华真招标代理有限公司。修改的内容和撤回通知应当按本须知要求签署、盖章、密封，并作为投标文件的组成部分。</w:t>
      </w:r>
    </w:p>
    <w:p w14:paraId="79669EA8">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14.6 投标人在投标截止时间后不得修改、撤回投标文件。投标人在投标截止时间后修改投标文件的，其投标被拒绝。</w:t>
      </w:r>
    </w:p>
    <w:p w14:paraId="207FE754">
      <w:pPr>
        <w:spacing w:line="360" w:lineRule="exact"/>
        <w:jc w:val="center"/>
        <w:rPr>
          <w:rFonts w:asciiTheme="minorEastAsia" w:hAnsiTheme="minorEastAsia" w:eastAsiaTheme="minorEastAsia" w:cstheme="minorEastAsia"/>
          <w:b/>
          <w:color w:val="auto"/>
          <w:sz w:val="24"/>
          <w:szCs w:val="24"/>
          <w:highlight w:val="none"/>
        </w:rPr>
      </w:pPr>
      <w:bookmarkStart w:id="50" w:name="_Toc352597462"/>
      <w:bookmarkStart w:id="51" w:name="_Toc30517"/>
      <w:bookmarkStart w:id="52" w:name="_Toc266745675"/>
      <w:bookmarkStart w:id="53" w:name="_Toc531180679"/>
      <w:bookmarkStart w:id="54" w:name="_Toc530554790"/>
    </w:p>
    <w:p w14:paraId="4814AF99">
      <w:pPr>
        <w:spacing w:line="360" w:lineRule="exact"/>
        <w:jc w:val="center"/>
        <w:outlineLvl w:val="1"/>
        <w:rPr>
          <w:rFonts w:asciiTheme="minorEastAsia" w:hAnsiTheme="minorEastAsia" w:eastAsiaTheme="minorEastAsia" w:cstheme="minorEastAsia"/>
          <w:b/>
          <w:color w:val="auto"/>
          <w:sz w:val="24"/>
          <w:szCs w:val="24"/>
          <w:highlight w:val="none"/>
        </w:rPr>
      </w:pPr>
      <w:bookmarkStart w:id="55" w:name="_Toc28150"/>
      <w:r>
        <w:rPr>
          <w:rFonts w:hint="eastAsia" w:asciiTheme="minorEastAsia" w:hAnsiTheme="minorEastAsia" w:eastAsiaTheme="minorEastAsia" w:cstheme="minorEastAsia"/>
          <w:b/>
          <w:color w:val="auto"/>
          <w:sz w:val="24"/>
          <w:szCs w:val="24"/>
          <w:highlight w:val="none"/>
        </w:rPr>
        <w:t>五、投标文件的评估和比较</w:t>
      </w:r>
      <w:bookmarkEnd w:id="50"/>
      <w:bookmarkEnd w:id="51"/>
      <w:bookmarkEnd w:id="52"/>
      <w:bookmarkEnd w:id="53"/>
      <w:bookmarkEnd w:id="55"/>
    </w:p>
    <w:p w14:paraId="7BE14BA7">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15.开标、评标时间</w:t>
      </w:r>
    </w:p>
    <w:p w14:paraId="1C4C0C69">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15.1 在投标人须知前附表中所规定的时间、地点开标。</w:t>
      </w:r>
    </w:p>
    <w:p w14:paraId="288AAC6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15.2开标由招标代理机构主持，采购人、投标人和有关方面代表参加。所有投标人应派授权代表参加开标会，并签到。</w:t>
      </w:r>
    </w:p>
    <w:p w14:paraId="068908C3">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16.评标委员会</w:t>
      </w:r>
    </w:p>
    <w:p w14:paraId="7E864F4E">
      <w:pPr>
        <w:spacing w:line="360" w:lineRule="exact"/>
        <w:ind w:firstLine="240"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16.1招标代理机构根据招标货物和服务的特点依法组建评标委员会。评标委员会由技术、经济、法律方面的专家和采购人代表组成。成员为5人或5人以上单数组成，专家不能少于三分之二。由评标委员会对投标文件进行审查、质疑、评估和比较，并做出授予合同的建议。</w:t>
      </w:r>
    </w:p>
    <w:p w14:paraId="645B5762">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16.2 评标委员会成员有下列情形之一的，应当回避：</w:t>
      </w:r>
    </w:p>
    <w:p w14:paraId="0875B71B">
      <w:pPr>
        <w:spacing w:line="360" w:lineRule="exact"/>
        <w:ind w:firstLine="480" w:firstLineChars="200"/>
        <w:rPr>
          <w:rFonts w:asciiTheme="minorEastAsia" w:hAnsiTheme="minorEastAsia" w:eastAsiaTheme="minorEastAsia" w:cstheme="minorEastAsia"/>
          <w:color w:val="auto"/>
          <w:sz w:val="24"/>
          <w:szCs w:val="24"/>
          <w:highlight w:val="none"/>
        </w:rPr>
      </w:pPr>
      <w:bookmarkStart w:id="56" w:name="_Toc233627390"/>
      <w:r>
        <w:rPr>
          <w:rFonts w:hint="eastAsia" w:asciiTheme="minorEastAsia" w:hAnsiTheme="minorEastAsia" w:eastAsiaTheme="minorEastAsia" w:cstheme="minorEastAsia"/>
          <w:color w:val="auto"/>
          <w:sz w:val="24"/>
          <w:szCs w:val="24"/>
          <w:highlight w:val="none"/>
        </w:rPr>
        <w:t>(1) 现在或者在采购活动发生前三年内，与投标人存在雇佣关系；</w:t>
      </w:r>
    </w:p>
    <w:p w14:paraId="70671DB8">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 现在或者在采购活动发生前三年内担任投标人的财务顾问、法律顾问或技术顾问；</w:t>
      </w:r>
    </w:p>
    <w:p w14:paraId="37553746">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 现在或者在采购活动发生前三年内是投标人的控股股东或者实际控制人；</w:t>
      </w:r>
    </w:p>
    <w:p w14:paraId="737F1339">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 与投标人的单位负责人或者负责人是直系血亲、三代以内旁系血亲及姻亲关系；</w:t>
      </w:r>
    </w:p>
    <w:p w14:paraId="71DCEB14">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 与投标人之间存在其他影响或可能影响采购活动依法进行的利害关系。</w:t>
      </w:r>
    </w:p>
    <w:p w14:paraId="09DC8DF1">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16.3 评标原则</w:t>
      </w:r>
      <w:bookmarkEnd w:id="56"/>
    </w:p>
    <w:p w14:paraId="25D4D3B4">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评标活动遵循公平、公正、科学和择优的原则。</w:t>
      </w:r>
    </w:p>
    <w:p w14:paraId="3DCCC271">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17.投标文件的初审</w:t>
      </w:r>
    </w:p>
    <w:p w14:paraId="1D42347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对所有投标人的评估，都采用相同的程序和标准。评议过程将严格按照招标文件的要求和条件进行。</w:t>
      </w:r>
    </w:p>
    <w:p w14:paraId="7DF8878F">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有关投标文件的审查、澄清、评估和比较以及推荐中标候选人的一切情况都不得透露给任一投标人或与上述评标工作无关的人员。</w:t>
      </w:r>
    </w:p>
    <w:p w14:paraId="6EC667F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投标人任何试图影响评委会对投标文件的评估、比较或者推荐候选人的行为，都将导致其投标被拒绝，并被没收投标保证金。</w:t>
      </w:r>
    </w:p>
    <w:p w14:paraId="5DBDF845">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17.1评委会将对投标文件进行检查，以确定投标文件是否完整、有无计算上的错误、是否提交了投标保证金、文件是否已正确签署。</w:t>
      </w:r>
    </w:p>
    <w:p w14:paraId="49A48019">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17.2 算术错误将按以下方法更正：</w:t>
      </w:r>
    </w:p>
    <w:p w14:paraId="36D39C3C">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(1)投标文件中开标一览表内容与投标文件中明细表内容不一致的，以开标一览表为准。</w:t>
      </w:r>
    </w:p>
    <w:p w14:paraId="780442C3">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14:paraId="3606F69C">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如果投标人不接受按上述方法对投标文件中的算术错误进行更正，其投标将被拒绝并没收其投标保证金。</w:t>
      </w:r>
    </w:p>
    <w:p w14:paraId="4A2777B0">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17.3资格性检查和符合性检查 </w:t>
      </w:r>
    </w:p>
    <w:p w14:paraId="6E565106">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17.3.1资格性检查。依据法律法规和招标文件的规定，在对投标文件详细评估之前，评标委员会将依据投标人提交的投标文件按投标人须知前附表第2项所述的资格标准对投标人进行资格审查, 以确定其是否具备投标资格。如果投标人不具备投标资格，不满足招标文件所规定的资格标准或提供资格证明文件不全的, 其投标将被拒绝。</w:t>
      </w:r>
    </w:p>
    <w:p w14:paraId="32D475AA">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14:paraId="425D1E9D">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投标文件未按照本须知第13、14条的规定进行编制、密封、标记的；</w:t>
      </w:r>
    </w:p>
    <w:p w14:paraId="64001BDB">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（2）未按规定由投标人的单位负责人或其授权代表签字，或未逐页加盖投标人公章的；或签字人未经单位负责人有效授权委托的；</w:t>
      </w:r>
    </w:p>
    <w:p w14:paraId="5BFE010B">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（3）未按规定提交投标保证金的；</w:t>
      </w:r>
    </w:p>
    <w:p w14:paraId="0143D733">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（4）投标文件有效期不满足招标文件要求的；</w:t>
      </w:r>
    </w:p>
    <w:p w14:paraId="72B7F455">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（5）一个投标人不止响应一个标；</w:t>
      </w:r>
    </w:p>
    <w:p w14:paraId="2758CBC6">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（6）投标文件组成不符合招标文件要求的；</w:t>
      </w:r>
    </w:p>
    <w:p w14:paraId="644DB1A8">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（7）投标文件中提供虚假或失实资料的；</w:t>
      </w:r>
    </w:p>
    <w:p w14:paraId="2D57FC16">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（8）未按规定提交加盖骑缝章及盖公章，并用胶装(为永久性、无破坏不可拆分)装订成册的；</w:t>
      </w:r>
    </w:p>
    <w:p w14:paraId="106FD94C">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（9）未按规定提交由企业加盖公章并注明复印件与原件一致的单位负责人、被授权人（若有）身份证复印件；</w:t>
      </w:r>
    </w:p>
    <w:p w14:paraId="061669C2">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（10）所有证明文件复印件未注明“与原件一致”并加盖投标人公章；</w:t>
      </w:r>
    </w:p>
    <w:p w14:paraId="0A50162E">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（11）未按规定的格式填写，内容不全或关键字迹模糊、无法辨认的；</w:t>
      </w:r>
    </w:p>
    <w:p w14:paraId="2A1AC14C">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（12）投标人名称或组织结构与资格性审查时不一致且未提供有效证明的；</w:t>
      </w:r>
    </w:p>
    <w:p w14:paraId="6848FB1B">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（13）违反规定采取分包、转包方式履行合同的；</w:t>
      </w:r>
    </w:p>
    <w:p w14:paraId="0A9A2D73">
      <w:pPr>
        <w:spacing w:line="360" w:lineRule="exact"/>
        <w:ind w:firstLine="360" w:firstLineChars="15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（14）投标内容与采购内容及要求有重大偏离或保留的；</w:t>
      </w:r>
    </w:p>
    <w:p w14:paraId="6C3E8D03">
      <w:pPr>
        <w:spacing w:line="360" w:lineRule="exact"/>
        <w:ind w:firstLine="3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（15）投标人提交的是可选择的报价；</w:t>
      </w:r>
    </w:p>
    <w:p w14:paraId="70C5B24F">
      <w:pPr>
        <w:spacing w:line="360" w:lineRule="exact"/>
        <w:ind w:firstLine="3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（16）未提供招标代理服务费承诺书的；</w:t>
      </w:r>
    </w:p>
    <w:p w14:paraId="766EA5F4">
      <w:pPr>
        <w:spacing w:line="360" w:lineRule="exact"/>
        <w:ind w:firstLine="36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（17）投标文件内容不符合招标文件中规定的其它实质性条款。</w:t>
      </w:r>
    </w:p>
    <w:p w14:paraId="74F525D9">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评标委员会对资格性审查、符合性审查及判定投标的响应性只根据投标文件本身的内容，而不寻求其他的外部证据。</w:t>
      </w:r>
    </w:p>
    <w:p w14:paraId="2CEC984A">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18.投标文件的澄清 </w:t>
      </w:r>
    </w:p>
    <w:p w14:paraId="7248EE63">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单位负责人或者授权代表签字，并不得超出投标文件的范围或者改变投标文件的实质性内容。</w:t>
      </w:r>
    </w:p>
    <w:p w14:paraId="49AA9AE7">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19.比较与评价</w:t>
      </w:r>
    </w:p>
    <w:p w14:paraId="74A9ECBA">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19.1评标委员会将按投标人须知前附表第6项所述评标方法与标准，对资格性检查和符合性检查合格的投标文件进行商务和技术评估，综合比较与评价。</w:t>
      </w:r>
    </w:p>
    <w:p w14:paraId="14FB2E0C">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19.2对漏（缺）报项的处理：招标文件中要求列入投标的费用（含配置、功能），漏（缺）报的视同已含在投标总价中。</w:t>
      </w:r>
    </w:p>
    <w:p w14:paraId="1E1D09BB">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14:paraId="694A59F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19.4评标委员会将按比较与评价最优在先原则, 排列评价顺序, 根据在投标人须知前附表第6项推荐出中标候选人。</w:t>
      </w:r>
    </w:p>
    <w:p w14:paraId="35109B4E">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19.5 在评标期间，若出现符合本须知规定的所有投标条件的投标人不足三家情形的，本次招标程序终止，除采购任务取消情形外，招标采购单位将依法重新组织招标或者采取其他方式采购。</w:t>
      </w:r>
    </w:p>
    <w:bookmarkEnd w:id="54"/>
    <w:p w14:paraId="295317A3">
      <w:pPr>
        <w:spacing w:line="360" w:lineRule="exact"/>
        <w:jc w:val="center"/>
        <w:outlineLvl w:val="1"/>
        <w:rPr>
          <w:rFonts w:asciiTheme="minorEastAsia" w:hAnsiTheme="minorEastAsia" w:eastAsiaTheme="minorEastAsia" w:cstheme="minorEastAsia"/>
          <w:b/>
          <w:color w:val="auto"/>
          <w:sz w:val="24"/>
          <w:szCs w:val="24"/>
          <w:highlight w:val="none"/>
        </w:rPr>
      </w:pPr>
      <w:bookmarkStart w:id="57" w:name="_Toc352597463"/>
      <w:bookmarkStart w:id="58" w:name="_Toc531180680"/>
      <w:bookmarkStart w:id="59" w:name="_Toc13805"/>
      <w:bookmarkStart w:id="60" w:name="_Toc26342"/>
      <w:bookmarkStart w:id="61" w:name="_Toc266745676"/>
      <w:r>
        <w:rPr>
          <w:rFonts w:hint="eastAsia" w:asciiTheme="minorEastAsia" w:hAnsiTheme="minorEastAsia" w:eastAsiaTheme="minorEastAsia" w:cstheme="minorEastAsia"/>
          <w:b/>
          <w:color w:val="auto"/>
          <w:sz w:val="24"/>
          <w:szCs w:val="24"/>
          <w:highlight w:val="none"/>
        </w:rPr>
        <w:t>六、定标与签订合同</w:t>
      </w:r>
      <w:bookmarkEnd w:id="57"/>
      <w:bookmarkEnd w:id="58"/>
      <w:bookmarkEnd w:id="59"/>
      <w:bookmarkEnd w:id="60"/>
      <w:bookmarkEnd w:id="61"/>
    </w:p>
    <w:p w14:paraId="2939DD29">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20.定标准则</w:t>
      </w:r>
    </w:p>
    <w:p w14:paraId="7BB3C012">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20.1最低报价价不作为中标的保证。</w:t>
      </w:r>
    </w:p>
    <w:p w14:paraId="3E9F9CBE">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20.2投标人的投标文件符合招标文件要求，按招标文件确定评标标准、方法，经评委评审并推荐中标候选人。</w:t>
      </w:r>
    </w:p>
    <w:p w14:paraId="2148F342">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21.中标通知</w:t>
      </w:r>
    </w:p>
    <w:p w14:paraId="5CEA685D">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21.1评标结束后，评标结果经采购人确认后，招标代理机构方应在刊登本采购项目招标公告的媒介上对中标结果进行公示，同时招标代理机构向中标投标人发出中标通知书。中标通知书对采购人和中标投标人具有同等法律效力。中标通知书发出后，采购人改变中标结果，或者中标投标人放弃中标，应按相关法律、规章、规范性文件的要求承担相应的法律责任。投标人对中标公告有异议的，应当在知道或应当知道其权益受到损害之日起7个工作日内，以书面形式向采购人或招标代理机构提出质疑。</w:t>
      </w:r>
    </w:p>
    <w:p w14:paraId="6873A5E7">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21.2《中标通知书》发出同时应将落标书面通知没有中标的其它投标人。</w:t>
      </w:r>
    </w:p>
    <w:p w14:paraId="655BEF78">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21.3《中标通知书》将作为签订合同的依据。《合同》签订后，《中标通知书》成为《合同》的一部分。</w:t>
      </w:r>
    </w:p>
    <w:p w14:paraId="3C0B3A42">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21.4中标公示期结束后5个工作日内，未中标投标人按照相关流程并持</w:t>
      </w:r>
      <w:r>
        <w:rPr>
          <w:rFonts w:hint="eastAsia" w:asciiTheme="minorEastAsia" w:hAnsiTheme="minorEastAsia" w:eastAsiaTheme="minorEastAsia" w:cstheme="minorEastAsia"/>
          <w:b/>
          <w:color w:val="auto"/>
          <w:sz w:val="24"/>
          <w:szCs w:val="24"/>
          <w:highlight w:val="none"/>
        </w:rPr>
        <w:t>《退回保证金申请函》及开户许可证复印件并加盖公章</w:t>
      </w:r>
      <w:r>
        <w:rPr>
          <w:rFonts w:hint="eastAsia" w:asciiTheme="minorEastAsia" w:hAnsiTheme="minorEastAsia" w:eastAsiaTheme="minorEastAsia" w:cstheme="minorEastAsia"/>
          <w:color w:val="auto"/>
          <w:sz w:val="24"/>
          <w:szCs w:val="24"/>
          <w:highlight w:val="none"/>
        </w:rPr>
        <w:t>办理退还投标保证金手续；中标人签订政府采购合同后在5个工作日内，持</w:t>
      </w:r>
      <w:r>
        <w:rPr>
          <w:rFonts w:hint="eastAsia" w:asciiTheme="minorEastAsia" w:hAnsiTheme="minorEastAsia" w:eastAsiaTheme="minorEastAsia" w:cstheme="minorEastAsia"/>
          <w:b/>
          <w:color w:val="auto"/>
          <w:sz w:val="24"/>
          <w:szCs w:val="24"/>
          <w:highlight w:val="none"/>
        </w:rPr>
        <w:t>政府采购合同（原件或复印件加盖中标人公章）、《退回保证金申请函》及开户许可证复印件并加盖公章</w:t>
      </w:r>
      <w:r>
        <w:rPr>
          <w:rFonts w:hint="eastAsia" w:asciiTheme="minorEastAsia" w:hAnsiTheme="minorEastAsia" w:eastAsiaTheme="minorEastAsia" w:cstheme="minorEastAsia"/>
          <w:color w:val="auto"/>
          <w:sz w:val="24"/>
          <w:szCs w:val="24"/>
          <w:highlight w:val="none"/>
        </w:rPr>
        <w:t>到福建华真招标代理有限公司办理退还投标保证金手续。</w:t>
      </w:r>
    </w:p>
    <w:p w14:paraId="04408337">
      <w:pPr>
        <w:adjustRightInd w:val="0"/>
        <w:snapToGrid w:val="0"/>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21.5在中标人支付所有招标服务费、提交履约保证金并签订合同后五个工作日内，以原缴交方式退还中标投标人的投标保证金。</w:t>
      </w:r>
    </w:p>
    <w:p w14:paraId="08F77A7B">
      <w:pPr>
        <w:adjustRightInd w:val="0"/>
        <w:snapToGrid w:val="0"/>
        <w:spacing w:line="360" w:lineRule="exact"/>
        <w:ind w:firstLine="482"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21.6 福建华真招标代理有限公司将在中标投标人确定之日起两个工作日发布中标通知书</w:t>
      </w:r>
      <w:r>
        <w:rPr>
          <w:rFonts w:hint="eastAsia" w:asciiTheme="minorEastAsia" w:hAnsiTheme="minorEastAsia" w:eastAsiaTheme="minorEastAsia" w:cstheme="minorEastAsia"/>
          <w:color w:val="auto"/>
          <w:sz w:val="24"/>
          <w:szCs w:val="24"/>
          <w:highlight w:val="none"/>
        </w:rPr>
        <w:t xml:space="preserve">。    </w:t>
      </w:r>
    </w:p>
    <w:p w14:paraId="4521A32A">
      <w:pPr>
        <w:snapToGrid w:val="0"/>
        <w:spacing w:line="360" w:lineRule="exact"/>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21.7投标人对中标公告有异议的，应按以下要求向招标代理机构提交中标质疑书（注：以下质疑格式与内容亦适用于对招标文件的质疑），未按以下格式及要求提交质疑书的质疑将不予受理：</w:t>
      </w:r>
    </w:p>
    <w:p w14:paraId="28F3669A">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21.7.1中标质疑书应当包括下列主要内容</w:t>
      </w:r>
    </w:p>
    <w:p w14:paraId="515BF51F">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21.7.1.1 质疑书接收对象（采购人或招标代理机构）；</w:t>
      </w:r>
    </w:p>
    <w:p w14:paraId="13CFC77D">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21.7.1.2质疑的项目名称 、招标编号、合同包名称；</w:t>
      </w:r>
    </w:p>
    <w:p w14:paraId="04DA26A3">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21.7.1.3质疑人的名称、地址、联系电话（含传真）、单位负责人等；</w:t>
      </w:r>
    </w:p>
    <w:p w14:paraId="7C0F6CFE">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21.7.1.4质疑的具体事项及事实依据、证据材料；</w:t>
      </w:r>
    </w:p>
    <w:p w14:paraId="135D9809">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21.7.1.5质疑的日期；</w:t>
      </w:r>
    </w:p>
    <w:p w14:paraId="3B95F9E0">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21.7.1.6应提交由单位负责人或授权代表（提供授权函）签署的书面原件并携带相关资料及企业营业执照副本复印件（加盖单位公章，原件备查，若无法提供原件或与原件不符的，视为虚假质疑）送达招标代理机构。</w:t>
      </w:r>
    </w:p>
    <w:p w14:paraId="48C93221">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21.7.2注意事项：</w:t>
      </w:r>
    </w:p>
    <w:p w14:paraId="3E953098">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21.7.2.1质疑人委托代理人办理质疑事务时应当向采购人或招标代理机构提交质疑人的授权委托书和代理人的身份证复印件；授权委托书应载明委托代理的事项和具体委托权限。</w:t>
      </w:r>
    </w:p>
    <w:p w14:paraId="53C29C4A">
      <w:pPr>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21.7.2.2中标质疑书中的事实依据中应写清采购活动经过，客观情况和有关法律、政策依据，质疑人应列举所有可供证明的证据。明确载明：证人姓名、住所和联系方式；书证、物证的来源及由谁保管；并提供复印件以便调查。质疑书应规范装订，编上页码、加盖骑缝章。</w:t>
      </w:r>
    </w:p>
    <w:p w14:paraId="54078D00">
      <w:pPr>
        <w:tabs>
          <w:tab w:val="left" w:pos="5580"/>
        </w:tabs>
        <w:snapToGrid w:val="0"/>
        <w:spacing w:line="360" w:lineRule="exact"/>
        <w:ind w:firstLine="84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21.7.2.3 未参加投标的投标人（或未购买招标文件的潜在投标人）的质疑书将不予受理。</w:t>
      </w:r>
    </w:p>
    <w:p w14:paraId="76AE17E2">
      <w:pPr>
        <w:snapToGrid w:val="0"/>
        <w:spacing w:line="360" w:lineRule="exact"/>
        <w:ind w:firstLine="48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21.7.2.4 质疑书用传真方式送达的，应立即用特快专递方式寄送原件，同时应在3个日历日内送达招标代理机构，否则招标代理机构将不予受理。     </w:t>
      </w:r>
    </w:p>
    <w:p w14:paraId="592D3084">
      <w:pPr>
        <w:spacing w:line="360" w:lineRule="exac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22.签订合同</w:t>
      </w:r>
    </w:p>
    <w:p w14:paraId="362B5FA9">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采购人、中标投标人在《中标通知书》发出之日起30日内，根据招标文件确定的事项和中标投标人投标文件，参照本招标文件第四章的《合同》文本签订合同。双方所签订的合同不得对招标文件和中标投标人投标文件作实质性修改。中标投标人逾期未签订合同，按照有关法律规定承担相应的法律责任，招标代理机构将没收招标保证金，以抵偿对采购人造成的损失。</w:t>
      </w:r>
    </w:p>
    <w:p w14:paraId="4531FCD7">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招标文件、招标文件的修改文件、中标投标人的投标文件、补充或修改的文件及澄清或承诺文件等，均为双方签订《合同》的组成部分，并与《合同》一并作为本招标文件所列采购项目的互补性法律文件，与《合同》具有同等法律效力。</w:t>
      </w:r>
    </w:p>
    <w:p w14:paraId="2C4BE6EF">
      <w:pPr>
        <w:spacing w:line="36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22.3采购人在合同履行中，需追加与合同标的相同的货物或者服务的，在不改变合同其他条款的前提下，可与投标人协商签订补充合同，但所有补充合同的采购金额不得超过原合同采购金额的百分之十。 </w:t>
      </w:r>
    </w:p>
    <w:p w14:paraId="2BE310C8">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23.招标项目行政监督部门</w:t>
      </w:r>
    </w:p>
    <w:p w14:paraId="07357F86">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23.1招标项目行政监督部门可视情况依法派员对本招标活动的全程进行监督。</w:t>
      </w:r>
    </w:p>
    <w:p w14:paraId="39B01FEF">
      <w:pPr>
        <w:snapToGrid w:val="0"/>
        <w:spacing w:line="360" w:lineRule="exact"/>
        <w:ind w:firstLine="6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23.2投标人如对招标活动有异议，可以按照有关规定向投标须知前附表第18项所述招标项目行政监督部门投诉。</w:t>
      </w:r>
    </w:p>
    <w:p w14:paraId="7518FAC9">
      <w:pPr>
        <w:pStyle w:val="117"/>
        <w:jc w:val="center"/>
        <w:outlineLvl w:val="0"/>
        <w:rPr>
          <w:rFonts w:asciiTheme="minorEastAsia" w:hAnsiTheme="minorEastAsia" w:eastAsiaTheme="minorEastAsia"/>
          <w:b/>
          <w:color w:val="auto"/>
          <w:sz w:val="32"/>
          <w:szCs w:val="32"/>
          <w:highlight w:val="none"/>
        </w:rPr>
      </w:pPr>
      <w:r>
        <w:rPr>
          <w:rFonts w:asciiTheme="minorEastAsia" w:hAnsiTheme="minorEastAsia" w:eastAsiaTheme="minorEastAsia"/>
          <w:b/>
          <w:color w:val="auto"/>
          <w:sz w:val="32"/>
          <w:szCs w:val="32"/>
          <w:highlight w:val="none"/>
        </w:rPr>
        <w:br w:type="page"/>
      </w:r>
      <w:bookmarkStart w:id="62" w:name="_Toc21033"/>
      <w:r>
        <w:rPr>
          <w:rFonts w:hint="eastAsia" w:asciiTheme="minorEastAsia" w:hAnsiTheme="minorEastAsia" w:eastAsiaTheme="minorEastAsia"/>
          <w:b/>
          <w:color w:val="auto"/>
          <w:sz w:val="32"/>
          <w:szCs w:val="32"/>
          <w:highlight w:val="none"/>
        </w:rPr>
        <w:t>第三章  招标内容及要求</w:t>
      </w:r>
      <w:bookmarkEnd w:id="21"/>
      <w:bookmarkEnd w:id="22"/>
      <w:bookmarkEnd w:id="62"/>
    </w:p>
    <w:p w14:paraId="6A98DCB6">
      <w:pPr>
        <w:spacing w:line="460" w:lineRule="exact"/>
        <w:rPr>
          <w:rFonts w:cs="宋体" w:asciiTheme="minorEastAsia" w:hAnsiTheme="minorEastAsia" w:eastAsiaTheme="minorEastAsia"/>
          <w:b/>
          <w:bCs/>
          <w:color w:val="auto"/>
          <w:sz w:val="24"/>
          <w:szCs w:val="24"/>
          <w:highlight w:val="none"/>
        </w:rPr>
      </w:pPr>
      <w:bookmarkStart w:id="63" w:name="_Toc20892"/>
      <w:bookmarkStart w:id="64" w:name="_Toc13112"/>
      <w:r>
        <w:rPr>
          <w:rFonts w:hint="eastAsia" w:cs="宋体" w:asciiTheme="minorEastAsia" w:hAnsiTheme="minorEastAsia" w:eastAsiaTheme="minorEastAsia"/>
          <w:b/>
          <w:bCs/>
          <w:color w:val="auto"/>
          <w:sz w:val="24"/>
          <w:szCs w:val="24"/>
          <w:highlight w:val="none"/>
        </w:rPr>
        <w:t>一、项目概况</w:t>
      </w:r>
    </w:p>
    <w:p w14:paraId="57D4A873">
      <w:pPr>
        <w:pStyle w:val="500"/>
        <w:spacing w:line="400" w:lineRule="atLeast"/>
        <w:ind w:firstLine="48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color w:val="auto"/>
          <w:sz w:val="24"/>
          <w:szCs w:val="24"/>
          <w:highlight w:val="none"/>
        </w:rPr>
        <w:t>1、本项目为</w:t>
      </w:r>
      <w:r>
        <w:rPr>
          <w:rFonts w:hint="eastAsia" w:cs="宋体" w:asciiTheme="minorEastAsia" w:hAnsiTheme="minorEastAsia" w:eastAsiaTheme="minorEastAsia"/>
          <w:color w:val="auto"/>
          <w:sz w:val="24"/>
          <w:szCs w:val="24"/>
          <w:highlight w:val="none"/>
          <w:lang w:eastAsia="zh-CN"/>
        </w:rPr>
        <w:t>福建省公安厅信访安保服务项目</w:t>
      </w:r>
      <w:r>
        <w:rPr>
          <w:rFonts w:hint="eastAsia" w:ascii="宋体" w:hAnsi="宋体" w:eastAsia="宋体" w:cs="宋体"/>
          <w:sz w:val="24"/>
          <w:szCs w:val="24"/>
          <w:highlight w:val="none"/>
          <w:lang w:eastAsia="zh-CN"/>
        </w:rPr>
        <w:t>。</w:t>
      </w:r>
    </w:p>
    <w:p w14:paraId="6B325E7F">
      <w:pPr>
        <w:tabs>
          <w:tab w:val="left" w:pos="900"/>
        </w:tabs>
        <w:spacing w:line="460" w:lineRule="exac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二、技术和服务要求（以“★”标示的内容为不允许负偏离的实质性要求）</w:t>
      </w:r>
    </w:p>
    <w:p w14:paraId="0E62F021">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eastAsia="zh-CN"/>
        </w:rPr>
        <w:t>服务内容：负责安保巡检和保安室值守工作，维护采购人日常工作及生活秩序。</w:t>
      </w:r>
    </w:p>
    <w:p w14:paraId="651D1F61">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eastAsia="zh-CN"/>
        </w:rPr>
        <w:t>保安员的要求</w:t>
      </w:r>
    </w:p>
    <w:p w14:paraId="555D5239">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eastAsia="zh-CN"/>
        </w:rPr>
        <w:t>）服务人数：</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eastAsia="zh-CN"/>
        </w:rPr>
        <w:t>人（包含</w:t>
      </w:r>
      <w:r>
        <w:rPr>
          <w:rFonts w:hint="eastAsia" w:cs="宋体" w:asciiTheme="minorEastAsia" w:hAnsiTheme="minorEastAsia" w:eastAsiaTheme="minorEastAsia"/>
          <w:color w:val="auto"/>
          <w:sz w:val="24"/>
          <w:szCs w:val="24"/>
          <w:highlight w:val="none"/>
          <w:lang w:val="en-US" w:eastAsia="zh-CN"/>
        </w:rPr>
        <w:t>1名</w:t>
      </w:r>
      <w:r>
        <w:rPr>
          <w:rFonts w:hint="eastAsia" w:cs="宋体" w:asciiTheme="minorEastAsia" w:hAnsiTheme="minorEastAsia" w:eastAsiaTheme="minorEastAsia"/>
          <w:color w:val="auto"/>
          <w:sz w:val="24"/>
          <w:szCs w:val="24"/>
          <w:highlight w:val="none"/>
          <w:lang w:eastAsia="zh-CN"/>
        </w:rPr>
        <w:t>保安队长及</w:t>
      </w:r>
      <w:r>
        <w:rPr>
          <w:rFonts w:hint="eastAsia" w:cs="宋体" w:asciiTheme="minorEastAsia" w:hAnsiTheme="minorEastAsia" w:eastAsiaTheme="minorEastAsia"/>
          <w:color w:val="auto"/>
          <w:sz w:val="24"/>
          <w:szCs w:val="24"/>
          <w:highlight w:val="none"/>
          <w:lang w:val="en-US" w:eastAsia="zh-CN"/>
        </w:rPr>
        <w:t>5名</w:t>
      </w:r>
      <w:r>
        <w:rPr>
          <w:rFonts w:hint="eastAsia" w:cs="宋体" w:asciiTheme="minorEastAsia" w:hAnsiTheme="minorEastAsia" w:eastAsiaTheme="minorEastAsia"/>
          <w:color w:val="auto"/>
          <w:sz w:val="24"/>
          <w:szCs w:val="24"/>
          <w:highlight w:val="none"/>
          <w:lang w:eastAsia="zh-CN"/>
        </w:rPr>
        <w:t>保安员）；上岗人员须持有保安员证。男性，年龄18周岁以上</w:t>
      </w:r>
      <w:r>
        <w:rPr>
          <w:rFonts w:hint="eastAsia" w:cs="宋体" w:asciiTheme="minorEastAsia" w:hAnsiTheme="minorEastAsia" w:eastAsiaTheme="minorEastAsia"/>
          <w:color w:val="auto"/>
          <w:sz w:val="24"/>
          <w:szCs w:val="24"/>
          <w:highlight w:val="none"/>
          <w:lang w:val="en-US" w:eastAsia="zh-CN"/>
        </w:rPr>
        <w:t>45</w:t>
      </w:r>
      <w:r>
        <w:rPr>
          <w:rFonts w:hint="eastAsia" w:cs="宋体" w:asciiTheme="minorEastAsia" w:hAnsiTheme="minorEastAsia" w:eastAsiaTheme="minorEastAsia"/>
          <w:color w:val="auto"/>
          <w:sz w:val="24"/>
          <w:szCs w:val="24"/>
          <w:highlight w:val="none"/>
          <w:lang w:eastAsia="zh-CN"/>
        </w:rPr>
        <w:t>周岁以下，身高1.68米以上，品行端正，责任心强，退伍军人优先，无色盲，身体健康，无传染性疾病，身体无纹身，具备初中</w:t>
      </w:r>
      <w:r>
        <w:rPr>
          <w:rFonts w:hint="eastAsia" w:cs="宋体" w:asciiTheme="minorEastAsia" w:hAnsiTheme="minorEastAsia" w:eastAsiaTheme="minorEastAsia"/>
          <w:color w:val="auto"/>
          <w:sz w:val="24"/>
          <w:szCs w:val="24"/>
          <w:highlight w:val="none"/>
          <w:lang w:val="en-US" w:eastAsia="zh-CN"/>
        </w:rPr>
        <w:t>及</w:t>
      </w:r>
      <w:r>
        <w:rPr>
          <w:rFonts w:hint="eastAsia" w:cs="宋体" w:asciiTheme="minorEastAsia" w:hAnsiTheme="minorEastAsia" w:eastAsiaTheme="minorEastAsia"/>
          <w:color w:val="auto"/>
          <w:sz w:val="24"/>
          <w:szCs w:val="24"/>
          <w:highlight w:val="none"/>
          <w:lang w:eastAsia="zh-CN"/>
        </w:rPr>
        <w:t>以上学历。</w:t>
      </w:r>
    </w:p>
    <w:p w14:paraId="5C68BA89">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eastAsia="zh-CN"/>
        </w:rPr>
        <w:t>）政治素质条件：爱祖国、爱人民、无违法犯罪纪录；爱岗敬业，恪尽职守；文明执勤，礼貌待人；遵纪守法、团结协作。</w:t>
      </w:r>
    </w:p>
    <w:p w14:paraId="5079612B">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lang w:eastAsia="zh-CN"/>
        </w:rPr>
        <w:t>）业务条件：具备基本法律知识及与保安相关的政策、规定；具备一定语言和文字表达能力；具备与岗位职责相应的观察、发现、处置问题能力；</w:t>
      </w:r>
    </w:p>
    <w:p w14:paraId="3862B506">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eastAsia="zh-CN"/>
        </w:rPr>
        <w:t>（</w:t>
      </w:r>
      <w:r>
        <w:rPr>
          <w:rFonts w:hint="eastAsia" w:cs="宋体" w:asciiTheme="minorEastAsia" w:hAnsiTheme="minorEastAsia" w:eastAsiaTheme="minorEastAsia"/>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lang w:eastAsia="zh-CN"/>
        </w:rPr>
        <w:t>）技能</w:t>
      </w:r>
      <w:r>
        <w:rPr>
          <w:rFonts w:hint="eastAsia" w:cs="宋体" w:asciiTheme="minorEastAsia" w:hAnsiTheme="minorEastAsia" w:eastAsiaTheme="minorEastAsia"/>
          <w:color w:val="auto"/>
          <w:sz w:val="24"/>
          <w:szCs w:val="24"/>
          <w:highlight w:val="none"/>
          <w:lang w:val="en-US" w:eastAsia="zh-CN"/>
        </w:rPr>
        <w:t>条件：</w:t>
      </w:r>
      <w:r>
        <w:rPr>
          <w:rFonts w:hint="eastAsia" w:cs="宋体" w:asciiTheme="minorEastAsia" w:hAnsiTheme="minorEastAsia" w:eastAsiaTheme="minorEastAsia"/>
          <w:color w:val="auto"/>
          <w:sz w:val="24"/>
          <w:szCs w:val="24"/>
          <w:highlight w:val="none"/>
          <w:lang w:eastAsia="zh-CN"/>
        </w:rPr>
        <w:t>具备使用基本消防设备、通讯器材、技术防范设施和相关防卫器械技能；掌握—定防卫和擒敌技能。</w:t>
      </w:r>
    </w:p>
    <w:p w14:paraId="23DAAC67">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【评审项1】3、</w:t>
      </w:r>
      <w:r>
        <w:rPr>
          <w:rFonts w:hint="eastAsia" w:cs="宋体" w:asciiTheme="minorEastAsia" w:hAnsiTheme="minorEastAsia" w:eastAsiaTheme="minorEastAsia"/>
          <w:color w:val="auto"/>
          <w:sz w:val="24"/>
          <w:szCs w:val="24"/>
          <w:highlight w:val="none"/>
          <w:lang w:eastAsia="zh-CN"/>
        </w:rPr>
        <w:t>保安员的工作排班</w:t>
      </w:r>
      <w:r>
        <w:rPr>
          <w:rFonts w:hint="eastAsia" w:ascii="宋体" w:hAnsi="宋体" w:eastAsia="宋体" w:cs="宋体"/>
          <w:sz w:val="24"/>
          <w:szCs w:val="24"/>
          <w:highlight w:val="none"/>
        </w:rPr>
        <w:t>由</w:t>
      </w:r>
      <w:r>
        <w:rPr>
          <w:rFonts w:hint="eastAsia" w:ascii="宋体" w:hAnsi="宋体" w:eastAsia="宋体" w:cs="宋体"/>
          <w:sz w:val="24"/>
          <w:szCs w:val="24"/>
          <w:highlight w:val="none"/>
          <w:lang w:val="en-US" w:eastAsia="zh-CN"/>
        </w:rPr>
        <w:t>采购人</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负责按照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人的安排执行</w:t>
      </w:r>
      <w:r>
        <w:rPr>
          <w:rFonts w:hint="eastAsia" w:cs="宋体" w:asciiTheme="minorEastAsia" w:hAnsiTheme="minorEastAsia" w:eastAsiaTheme="minorEastAsia"/>
          <w:color w:val="auto"/>
          <w:sz w:val="24"/>
          <w:szCs w:val="24"/>
          <w:highlight w:val="none"/>
          <w:lang w:eastAsia="zh-CN"/>
        </w:rPr>
        <w:t>。</w:t>
      </w:r>
    </w:p>
    <w:p w14:paraId="283BDD97">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【评审项2】4、</w:t>
      </w:r>
      <w:r>
        <w:rPr>
          <w:rFonts w:hint="eastAsia" w:cs="宋体" w:asciiTheme="minorEastAsia" w:hAnsiTheme="minorEastAsia" w:eastAsiaTheme="minorEastAsia"/>
          <w:color w:val="auto"/>
          <w:sz w:val="24"/>
          <w:szCs w:val="24"/>
          <w:highlight w:val="none"/>
          <w:lang w:eastAsia="zh-CN"/>
        </w:rPr>
        <w:t>保安员着装由中标人提供，执勤时应按要求着装，不准披衣、敞怀、挽袖、卷裤腿、歪戴帽子、穿拖鞋或赤足。</w:t>
      </w:r>
    </w:p>
    <w:p w14:paraId="7F8F1D76">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【评审项3】5、</w:t>
      </w:r>
      <w:r>
        <w:rPr>
          <w:rFonts w:hint="eastAsia" w:cs="宋体" w:asciiTheme="minorEastAsia" w:hAnsiTheme="minorEastAsia" w:eastAsiaTheme="minorEastAsia"/>
          <w:color w:val="auto"/>
          <w:sz w:val="24"/>
          <w:szCs w:val="24"/>
          <w:highlight w:val="none"/>
          <w:lang w:eastAsia="zh-CN"/>
        </w:rPr>
        <w:t>保安员执勤时要仪表端庄，精神饱满，不准留长发、大鬓角和胡须。</w:t>
      </w:r>
    </w:p>
    <w:p w14:paraId="128BA975">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【评审项4】6、</w:t>
      </w:r>
      <w:r>
        <w:rPr>
          <w:rFonts w:hint="eastAsia" w:cs="宋体" w:asciiTheme="minorEastAsia" w:hAnsiTheme="minorEastAsia" w:eastAsiaTheme="minorEastAsia"/>
          <w:color w:val="auto"/>
          <w:sz w:val="24"/>
          <w:szCs w:val="24"/>
          <w:highlight w:val="none"/>
          <w:lang w:eastAsia="zh-CN"/>
        </w:rPr>
        <w:t>保安员在下列场合应行举手礼：遇领导时，站岗、执勤，交接班时，通到领导接见，慰问时，领导视察，检査工作时。</w:t>
      </w:r>
    </w:p>
    <w:p w14:paraId="604065EA">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【评审项5】7、</w:t>
      </w:r>
      <w:r>
        <w:rPr>
          <w:rFonts w:hint="eastAsia" w:cs="宋体" w:asciiTheme="minorEastAsia" w:hAnsiTheme="minorEastAsia" w:eastAsiaTheme="minorEastAsia"/>
          <w:color w:val="auto"/>
          <w:sz w:val="24"/>
          <w:szCs w:val="24"/>
          <w:highlight w:val="none"/>
          <w:lang w:eastAsia="zh-CN"/>
        </w:rPr>
        <w:t>保安员在执勤时要姿态端正，动作规范，举止文明。</w:t>
      </w:r>
    </w:p>
    <w:p w14:paraId="35A059AF">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【评审项6】8、</w:t>
      </w:r>
      <w:r>
        <w:rPr>
          <w:rFonts w:hint="eastAsia" w:cs="宋体" w:asciiTheme="minorEastAsia" w:hAnsiTheme="minorEastAsia" w:eastAsiaTheme="minorEastAsia"/>
          <w:color w:val="auto"/>
          <w:sz w:val="24"/>
          <w:szCs w:val="24"/>
          <w:highlight w:val="none"/>
          <w:lang w:eastAsia="zh-CN"/>
        </w:rPr>
        <w:t>保安员在执勤时应讲普通话，接触群众时，说话要和气，使用礼貌用语。</w:t>
      </w:r>
    </w:p>
    <w:p w14:paraId="2F1AAD27">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【评审项7】9、</w:t>
      </w:r>
      <w:r>
        <w:rPr>
          <w:rFonts w:hint="eastAsia" w:cs="宋体" w:asciiTheme="minorEastAsia" w:hAnsiTheme="minorEastAsia" w:eastAsiaTheme="minorEastAsia"/>
          <w:color w:val="auto"/>
          <w:sz w:val="24"/>
          <w:szCs w:val="24"/>
          <w:highlight w:val="none"/>
          <w:lang w:eastAsia="zh-CN"/>
        </w:rPr>
        <w:t>保安员必须在法律、法规允许的范围内开展保安服务工作；不超越职责权限；严格履行岗位职责，不做与保安服务无关的事情；不刁难群众；不脱岗、空岗，不迟到，不早退。</w:t>
      </w:r>
    </w:p>
    <w:p w14:paraId="17F0C7D0">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3</w:t>
      </w:r>
      <w:r>
        <w:rPr>
          <w:rFonts w:hint="eastAsia" w:cs="宋体" w:asciiTheme="minorEastAsia" w:hAnsiTheme="minorEastAsia" w:eastAsiaTheme="minorEastAsia"/>
          <w:color w:val="auto"/>
          <w:sz w:val="24"/>
          <w:szCs w:val="24"/>
          <w:highlight w:val="none"/>
          <w:lang w:val="en-US" w:eastAsia="zh-CN"/>
        </w:rPr>
        <w:t>】10、</w:t>
      </w:r>
      <w:r>
        <w:rPr>
          <w:rFonts w:hint="eastAsia" w:cs="宋体" w:asciiTheme="minorEastAsia" w:hAnsiTheme="minorEastAsia" w:eastAsiaTheme="minorEastAsia"/>
          <w:color w:val="auto"/>
          <w:sz w:val="24"/>
          <w:szCs w:val="24"/>
          <w:highlight w:val="none"/>
          <w:lang w:eastAsia="zh-CN"/>
        </w:rPr>
        <w:t>保安员上班应保持警惕，认真执勤。严禁岗上玩手机、聊天、会客、吸烟、不得出现打闹、嬉笑、看书、看报纸等现象，不得办其它与本岗位无关的私亊，紧急事项要请假，不得脱岗。</w:t>
      </w:r>
    </w:p>
    <w:p w14:paraId="13940536">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【评审项8】11、</w:t>
      </w:r>
      <w:r>
        <w:rPr>
          <w:rFonts w:hint="eastAsia" w:cs="宋体" w:asciiTheme="minorEastAsia" w:hAnsiTheme="minorEastAsia" w:eastAsiaTheme="minorEastAsia"/>
          <w:color w:val="auto"/>
          <w:sz w:val="24"/>
          <w:szCs w:val="24"/>
          <w:highlight w:val="none"/>
          <w:lang w:eastAsia="zh-CN"/>
        </w:rPr>
        <w:t>严格按照岗位管理规定的要求，写清楚交接班记录。</w:t>
      </w:r>
    </w:p>
    <w:p w14:paraId="45C0A8CC">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【评审项9】12、</w:t>
      </w:r>
      <w:r>
        <w:rPr>
          <w:rFonts w:hint="eastAsia" w:cs="宋体" w:asciiTheme="minorEastAsia" w:hAnsiTheme="minorEastAsia" w:eastAsiaTheme="minorEastAsia"/>
          <w:color w:val="auto"/>
          <w:sz w:val="24"/>
          <w:szCs w:val="24"/>
          <w:highlight w:val="none"/>
          <w:lang w:eastAsia="zh-CN"/>
        </w:rPr>
        <w:t>保持岗位卫生，物品摆放整洁。发现可疑情况，立即通知采购人有关人员前往现场查实、处置。</w:t>
      </w:r>
    </w:p>
    <w:p w14:paraId="6D9E200D">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【评审项10】13、</w:t>
      </w:r>
      <w:r>
        <w:rPr>
          <w:rFonts w:hint="eastAsia" w:cs="宋体" w:asciiTheme="minorEastAsia" w:hAnsiTheme="minorEastAsia" w:eastAsiaTheme="minorEastAsia"/>
          <w:color w:val="auto"/>
          <w:sz w:val="24"/>
          <w:szCs w:val="24"/>
          <w:highlight w:val="none"/>
          <w:lang w:eastAsia="zh-CN"/>
        </w:rPr>
        <w:t>对安保工作存在的问题应及时提出处理意见。</w:t>
      </w:r>
    </w:p>
    <w:p w14:paraId="42B189DE">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4</w:t>
      </w:r>
      <w:r>
        <w:rPr>
          <w:rFonts w:hint="eastAsia" w:cs="宋体" w:asciiTheme="minorEastAsia" w:hAnsiTheme="minorEastAsia" w:eastAsiaTheme="minorEastAsia"/>
          <w:color w:val="auto"/>
          <w:sz w:val="24"/>
          <w:szCs w:val="24"/>
          <w:highlight w:val="none"/>
          <w:lang w:val="en-US" w:eastAsia="zh-CN"/>
        </w:rPr>
        <w:t>】14、</w:t>
      </w:r>
      <w:r>
        <w:rPr>
          <w:rFonts w:hint="eastAsia" w:cs="宋体" w:asciiTheme="minorEastAsia" w:hAnsiTheme="minorEastAsia" w:eastAsiaTheme="minorEastAsia"/>
          <w:color w:val="auto"/>
          <w:sz w:val="24"/>
          <w:szCs w:val="24"/>
          <w:highlight w:val="none"/>
          <w:lang w:eastAsia="zh-CN"/>
        </w:rPr>
        <w:t>每天交接班后，严格按照工作职责的需求，认真仔细对重点部位进行安全检査，发现问题或可疑情况，应判断准确，果断处理，同时做好日常工作记录。</w:t>
      </w:r>
    </w:p>
    <w:p w14:paraId="2C03429B">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lang w:val="en-US" w:eastAsia="zh-CN"/>
        </w:rPr>
        <w:t>】15、</w:t>
      </w:r>
      <w:r>
        <w:rPr>
          <w:rFonts w:hint="eastAsia" w:cs="宋体" w:asciiTheme="minorEastAsia" w:hAnsiTheme="minorEastAsia" w:eastAsiaTheme="minorEastAsia"/>
          <w:color w:val="auto"/>
          <w:sz w:val="24"/>
          <w:szCs w:val="24"/>
          <w:highlight w:val="none"/>
          <w:lang w:eastAsia="zh-CN"/>
        </w:rPr>
        <w:t>切实做好防火、防盗、防破坏等安全防范工作，对存在的漏洞及时发现及时报吿。</w:t>
      </w:r>
    </w:p>
    <w:p w14:paraId="4F197BF6">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【评审项11】16、</w:t>
      </w:r>
      <w:r>
        <w:rPr>
          <w:rFonts w:hint="eastAsia" w:cs="宋体" w:asciiTheme="minorEastAsia" w:hAnsiTheme="minorEastAsia" w:eastAsiaTheme="minorEastAsia"/>
          <w:color w:val="auto"/>
          <w:sz w:val="24"/>
          <w:szCs w:val="24"/>
          <w:highlight w:val="none"/>
          <w:lang w:eastAsia="zh-CN"/>
        </w:rPr>
        <w:t>熟悉环境，提高预防能力，防止各种危害事件的发生。</w:t>
      </w:r>
    </w:p>
    <w:p w14:paraId="1FE98757">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【评审项12】17、</w:t>
      </w:r>
      <w:r>
        <w:rPr>
          <w:rFonts w:hint="eastAsia" w:cs="宋体" w:asciiTheme="minorEastAsia" w:hAnsiTheme="minorEastAsia" w:eastAsiaTheme="minorEastAsia"/>
          <w:color w:val="auto"/>
          <w:sz w:val="24"/>
          <w:szCs w:val="24"/>
          <w:highlight w:val="none"/>
          <w:lang w:eastAsia="zh-CN"/>
        </w:rPr>
        <w:t>遇到纠纷和斗殴现象，保安员应及时劝并报警。</w:t>
      </w:r>
    </w:p>
    <w:p w14:paraId="222E24A0">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【评审项13】18、</w:t>
      </w:r>
      <w:r>
        <w:rPr>
          <w:rFonts w:hint="eastAsia" w:cs="宋体" w:asciiTheme="minorEastAsia" w:hAnsiTheme="minorEastAsia" w:eastAsiaTheme="minorEastAsia"/>
          <w:color w:val="auto"/>
          <w:sz w:val="24"/>
          <w:szCs w:val="24"/>
          <w:highlight w:val="none"/>
          <w:lang w:eastAsia="zh-CN"/>
        </w:rPr>
        <w:t>遇到偷盗行为，应及时抓获并报警，保护好现场。</w:t>
      </w:r>
    </w:p>
    <w:p w14:paraId="24C771E9">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w:t>
      </w:r>
      <w:r>
        <w:rPr>
          <w:rFonts w:hint="eastAsia" w:cs="宋体" w:asciiTheme="minorEastAsia" w:hAnsiTheme="minorEastAsia" w:eastAsiaTheme="minorEastAsia"/>
          <w:b/>
          <w:bCs/>
          <w:color w:val="auto"/>
          <w:sz w:val="24"/>
          <w:szCs w:val="24"/>
          <w:highlight w:val="none"/>
        </w:rPr>
        <w:t>★</w:t>
      </w:r>
      <w:r>
        <w:rPr>
          <w:rFonts w:hint="eastAsia" w:cs="宋体" w:asciiTheme="minorEastAsia" w:hAnsiTheme="minorEastAsia" w:eastAsiaTheme="minorEastAsia"/>
          <w:b/>
          <w:bCs/>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val="en-US" w:eastAsia="zh-CN"/>
        </w:rPr>
        <w:t>】19、</w:t>
      </w:r>
      <w:r>
        <w:rPr>
          <w:rFonts w:hint="eastAsia" w:cs="宋体" w:asciiTheme="minorEastAsia" w:hAnsiTheme="minorEastAsia" w:eastAsiaTheme="minorEastAsia"/>
          <w:color w:val="auto"/>
          <w:sz w:val="24"/>
          <w:szCs w:val="24"/>
          <w:highlight w:val="none"/>
          <w:lang w:eastAsia="zh-CN"/>
        </w:rPr>
        <w:t>遇突发性事件（火灾，自然灾害等），要第一时间报告采购人，及时报警。组织指挥现场人员安全有序地迅速撤离。</w:t>
      </w:r>
    </w:p>
    <w:p w14:paraId="3C442DE6">
      <w:pPr>
        <w:spacing w:line="460" w:lineRule="exac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eastAsiaTheme="minorEastAsia"/>
          <w:color w:val="auto"/>
          <w:sz w:val="24"/>
          <w:szCs w:val="24"/>
          <w:highlight w:val="none"/>
          <w:lang w:val="en-US" w:eastAsia="zh-CN"/>
        </w:rPr>
        <w:t>【评审项14】20、</w:t>
      </w:r>
      <w:r>
        <w:rPr>
          <w:rFonts w:hint="eastAsia" w:cs="宋体" w:asciiTheme="minorEastAsia" w:hAnsiTheme="minorEastAsia" w:eastAsiaTheme="minorEastAsia"/>
          <w:color w:val="auto"/>
          <w:sz w:val="24"/>
          <w:szCs w:val="24"/>
          <w:highlight w:val="none"/>
          <w:lang w:eastAsia="zh-CN"/>
        </w:rPr>
        <w:t>熟练掌握各种性能、规格的灭火器的使用方法及分布情况。</w:t>
      </w:r>
    </w:p>
    <w:p w14:paraId="405B0C4B">
      <w:pPr>
        <w:pStyle w:val="500"/>
        <w:keepNext w:val="0"/>
        <w:keepLines w:val="0"/>
        <w:pageBreakBefore w:val="0"/>
        <w:widowControl/>
        <w:kinsoku/>
        <w:wordWrap/>
        <w:overflowPunct/>
        <w:topLinePunct w:val="0"/>
        <w:autoSpaceDE/>
        <w:autoSpaceDN/>
        <w:bidi w:val="0"/>
        <w:adjustRightInd/>
        <w:snapToGrid/>
        <w:spacing w:line="400" w:lineRule="atLeast"/>
        <w:ind w:firstLine="0" w:firstLineChars="0"/>
        <w:jc w:val="both"/>
        <w:textAlignment w:val="auto"/>
        <w:rPr>
          <w:rFonts w:hint="default" w:ascii="宋体" w:hAnsi="宋体" w:eastAsia="宋体" w:cs="宋体"/>
          <w:b w:val="0"/>
          <w:bCs w:val="0"/>
          <w:sz w:val="24"/>
          <w:szCs w:val="24"/>
          <w:highlight w:val="none"/>
          <w:lang w:val="en-US" w:eastAsia="zh-CN"/>
        </w:rPr>
      </w:pPr>
      <w:r>
        <w:rPr>
          <w:rFonts w:hint="eastAsia" w:cs="宋体" w:asciiTheme="minorEastAsia" w:hAnsiTheme="minorEastAsia" w:eastAsiaTheme="minorEastAsia"/>
          <w:color w:val="auto"/>
          <w:sz w:val="24"/>
          <w:szCs w:val="24"/>
          <w:highlight w:val="none"/>
          <w:lang w:val="en-US" w:eastAsia="zh-CN"/>
        </w:rPr>
        <w:t>【评审项1</w:t>
      </w:r>
      <w:r>
        <w:rPr>
          <w:rFonts w:hint="eastAsia" w:cs="宋体" w:asciiTheme="minorEastAsia" w:hAnsiTheme="minorEastAsia"/>
          <w:color w:val="auto"/>
          <w:sz w:val="24"/>
          <w:szCs w:val="24"/>
          <w:highlight w:val="none"/>
          <w:lang w:val="en-US" w:eastAsia="zh-CN"/>
        </w:rPr>
        <w:t>5</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color w:val="auto"/>
          <w:sz w:val="24"/>
          <w:szCs w:val="24"/>
          <w:highlight w:val="none"/>
          <w:lang w:val="en-US" w:eastAsia="zh-CN"/>
        </w:rPr>
        <w:t>1</w:t>
      </w:r>
      <w:r>
        <w:rPr>
          <w:rFonts w:hint="eastAsia" w:cs="宋体" w:asciiTheme="minorEastAsia" w:hAnsiTheme="minorEastAsia" w:eastAsiaTheme="minorEastAsia"/>
          <w:color w:val="auto"/>
          <w:sz w:val="24"/>
          <w:szCs w:val="24"/>
          <w:highlight w:val="none"/>
          <w:lang w:val="en-US" w:eastAsia="zh-CN"/>
        </w:rPr>
        <w:t>、</w:t>
      </w:r>
      <w:r>
        <w:rPr>
          <w:rFonts w:hint="default" w:ascii="宋体" w:hAnsi="宋体" w:eastAsia="宋体" w:cs="宋体"/>
          <w:b w:val="0"/>
          <w:bCs w:val="0"/>
          <w:sz w:val="24"/>
          <w:szCs w:val="24"/>
          <w:highlight w:val="none"/>
          <w:lang w:val="en-US" w:eastAsia="zh-CN"/>
        </w:rPr>
        <w:t>按照</w:t>
      </w:r>
      <w:r>
        <w:rPr>
          <w:rFonts w:hint="eastAsia" w:ascii="宋体" w:hAnsi="宋体" w:eastAsia="宋体" w:cs="宋体"/>
          <w:b w:val="0"/>
          <w:bCs w:val="0"/>
          <w:sz w:val="24"/>
          <w:szCs w:val="24"/>
          <w:highlight w:val="none"/>
          <w:lang w:val="en-US" w:eastAsia="zh-CN"/>
        </w:rPr>
        <w:t>采购人</w:t>
      </w:r>
      <w:r>
        <w:rPr>
          <w:rFonts w:hint="default" w:ascii="宋体" w:hAnsi="宋体" w:eastAsia="宋体" w:cs="宋体"/>
          <w:b w:val="0"/>
          <w:bCs w:val="0"/>
          <w:sz w:val="24"/>
          <w:szCs w:val="24"/>
          <w:highlight w:val="none"/>
          <w:lang w:val="en-US" w:eastAsia="zh-CN"/>
        </w:rPr>
        <w:t>规定的巡逻时间进行巡逻，在特殊时期或恶劣天气条件下，适当增加巡逻频次。</w:t>
      </w:r>
    </w:p>
    <w:p w14:paraId="2413FB83">
      <w:pPr>
        <w:pStyle w:val="500"/>
        <w:widowControl/>
        <w:spacing w:line="400" w:lineRule="atLeast"/>
        <w:rPr>
          <w:rFonts w:hint="eastAsia"/>
          <w:lang w:eastAsia="zh-CN"/>
        </w:rPr>
      </w:pPr>
      <w:r>
        <w:rPr>
          <w:rFonts w:hint="eastAsia" w:cs="宋体" w:asciiTheme="minorEastAsia" w:hAnsiTheme="minorEastAsia" w:eastAsiaTheme="minorEastAsia"/>
          <w:color w:val="auto"/>
          <w:sz w:val="24"/>
          <w:szCs w:val="24"/>
          <w:highlight w:val="none"/>
          <w:lang w:val="en-US" w:eastAsia="zh-CN"/>
        </w:rPr>
        <w:t>【评审项1</w:t>
      </w:r>
      <w:r>
        <w:rPr>
          <w:rFonts w:hint="eastAsia" w:cs="宋体" w:asciiTheme="minorEastAsia" w:hAnsi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lang w:val="en-US" w:eastAsia="zh-CN"/>
        </w:rPr>
        <w:t>】2</w:t>
      </w:r>
      <w:r>
        <w:rPr>
          <w:rFonts w:hint="eastAsia" w:cs="宋体" w:asciiTheme="minorEastAsia" w:hAnsiTheme="minorEastAsia"/>
          <w:color w:val="auto"/>
          <w:sz w:val="24"/>
          <w:szCs w:val="24"/>
          <w:highlight w:val="none"/>
          <w:lang w:val="en-US" w:eastAsia="zh-CN"/>
        </w:rPr>
        <w:t>2</w:t>
      </w:r>
      <w:r>
        <w:rPr>
          <w:rFonts w:hint="eastAsia" w:cs="宋体" w:asciiTheme="minorEastAsia" w:hAnsiTheme="minorEastAsia" w:eastAsiaTheme="minorEastAsia"/>
          <w:color w:val="auto"/>
          <w:sz w:val="24"/>
          <w:szCs w:val="24"/>
          <w:highlight w:val="none"/>
          <w:lang w:val="en-US" w:eastAsia="zh-CN"/>
        </w:rPr>
        <w:t>、</w:t>
      </w:r>
      <w:r>
        <w:rPr>
          <w:rFonts w:hint="default" w:ascii="宋体" w:hAnsi="宋体" w:eastAsia="宋体" w:cs="宋体"/>
          <w:b w:val="0"/>
          <w:bCs w:val="0"/>
          <w:sz w:val="24"/>
          <w:szCs w:val="24"/>
          <w:highlight w:val="none"/>
          <w:lang w:val="en-US" w:eastAsia="zh-CN"/>
        </w:rPr>
        <w:t>举办大型会议、活动等期间，协助</w:t>
      </w:r>
      <w:r>
        <w:rPr>
          <w:rFonts w:hint="eastAsia" w:ascii="宋体" w:hAnsi="宋体" w:eastAsia="宋体" w:cs="宋体"/>
          <w:b w:val="0"/>
          <w:bCs w:val="0"/>
          <w:sz w:val="24"/>
          <w:szCs w:val="24"/>
          <w:highlight w:val="none"/>
          <w:lang w:val="en-US" w:eastAsia="zh-CN"/>
        </w:rPr>
        <w:t>采购人</w:t>
      </w:r>
      <w:r>
        <w:rPr>
          <w:rFonts w:hint="default" w:ascii="宋体" w:hAnsi="宋体" w:eastAsia="宋体" w:cs="宋体"/>
          <w:b w:val="0"/>
          <w:bCs w:val="0"/>
          <w:sz w:val="24"/>
          <w:szCs w:val="24"/>
          <w:highlight w:val="none"/>
          <w:lang w:val="en-US" w:eastAsia="zh-CN"/>
        </w:rPr>
        <w:t>做好安保工作。根据活动规模和要求，制定专项安保方案，合理安排保安员岗位，加强对活动现场及周边区域的安全管理，确保活动顺利进行。​</w:t>
      </w:r>
    </w:p>
    <w:p w14:paraId="02CA5462">
      <w:pPr>
        <w:widowControl/>
        <w:spacing w:line="460" w:lineRule="exact"/>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三、商务条件</w:t>
      </w:r>
    </w:p>
    <w:p w14:paraId="3695D0C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1、交付地点：</w:t>
      </w:r>
      <w:r>
        <w:rPr>
          <w:rFonts w:hint="eastAsia" w:ascii="宋体" w:hAnsi="宋体" w:cs="宋体"/>
          <w:color w:val="auto"/>
          <w:sz w:val="24"/>
          <w:szCs w:val="24"/>
          <w:highlight w:val="none"/>
          <w:lang w:eastAsia="zh-CN"/>
        </w:rPr>
        <w:t>福建省公安厅</w:t>
      </w:r>
      <w:r>
        <w:rPr>
          <w:rFonts w:hint="eastAsia" w:ascii="宋体" w:hAnsi="宋体" w:cs="宋体"/>
          <w:color w:val="auto"/>
          <w:sz w:val="24"/>
          <w:szCs w:val="24"/>
          <w:highlight w:val="none"/>
        </w:rPr>
        <w:t>。</w:t>
      </w:r>
    </w:p>
    <w:p w14:paraId="084344D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2、交付时间：合同签订后(7)天内进场服务，按照招标文件和合同要求开展服务。</w:t>
      </w:r>
    </w:p>
    <w:p w14:paraId="6AF945E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3、交付条件：按合同约定和招标文件、投标文件相关要求及国家相关行业标准规定执行。</w:t>
      </w:r>
    </w:p>
    <w:p w14:paraId="55FA75A9">
      <w:pPr>
        <w:spacing w:line="400" w:lineRule="exact"/>
        <w:ind w:firstLine="480" w:firstLineChars="200"/>
        <w:rPr>
          <w:rFonts w:hint="eastAsia" w:ascii="宋体" w:hAnsi="宋体" w:eastAsia="宋体" w:cs="宋体"/>
          <w:sz w:val="24"/>
          <w:szCs w:val="24"/>
          <w:highlight w:val="none"/>
          <w:lang w:eastAsia="zh-CN"/>
        </w:rPr>
      </w:pPr>
      <w:r>
        <w:rPr>
          <w:rFonts w:hint="eastAsia" w:ascii="宋体" w:hAnsi="宋体" w:cs="宋体"/>
          <w:color w:val="auto"/>
          <w:sz w:val="24"/>
          <w:szCs w:val="24"/>
          <w:highlight w:val="none"/>
        </w:rPr>
        <w:t>4、是否收取履约保证金：</w:t>
      </w:r>
      <w:r>
        <w:rPr>
          <w:rFonts w:hint="eastAsia" w:ascii="宋体" w:hAnsi="宋体" w:cs="宋体"/>
          <w:color w:val="auto"/>
          <w:sz w:val="24"/>
          <w:szCs w:val="24"/>
          <w:highlight w:val="none"/>
          <w:lang w:eastAsia="zh-CN"/>
        </w:rPr>
        <w:t>是，</w:t>
      </w: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履约保证金为合同金额的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p>
    <w:p w14:paraId="59DB122A">
      <w:pPr>
        <w:spacing w:line="400" w:lineRule="exact"/>
        <w:ind w:firstLine="480" w:firstLineChars="200"/>
        <w:rPr>
          <w:rFonts w:ascii="宋体" w:hAnsi="宋体" w:cs="宋体"/>
          <w:color w:val="auto"/>
          <w:sz w:val="24"/>
          <w:szCs w:val="24"/>
          <w:highlight w:val="none"/>
        </w:rPr>
      </w:pPr>
      <w:r>
        <w:rPr>
          <w:rFonts w:hint="eastAsia" w:ascii="宋体" w:hAnsi="宋体" w:eastAsia="宋体" w:cs="宋体"/>
          <w:sz w:val="24"/>
          <w:szCs w:val="24"/>
          <w:highlight w:val="none"/>
        </w:rPr>
        <w:t>说明：合同签订</w:t>
      </w:r>
      <w:r>
        <w:rPr>
          <w:rFonts w:hint="eastAsia" w:ascii="宋体" w:hAnsi="宋体" w:cs="宋体"/>
          <w:sz w:val="24"/>
          <w:szCs w:val="24"/>
          <w:highlight w:val="none"/>
          <w:lang w:eastAsia="zh-CN"/>
        </w:rPr>
        <w:t>时</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以银行保函等非现金形式向采购人支付合同金额的</w:t>
      </w:r>
      <w:r>
        <w:rPr>
          <w:rFonts w:hint="eastAsia" w:ascii="宋体" w:hAnsi="宋体" w:eastAsia="宋体" w:cs="宋体"/>
          <w:sz w:val="24"/>
          <w:szCs w:val="24"/>
          <w:highlight w:val="none"/>
          <w:lang w:eastAsia="zh-CN"/>
        </w:rPr>
        <w:t>5</w:t>
      </w:r>
      <w:r>
        <w:rPr>
          <w:rFonts w:hint="eastAsia" w:ascii="宋体" w:hAnsi="宋体" w:eastAsia="宋体" w:cs="宋体"/>
          <w:sz w:val="24"/>
          <w:szCs w:val="24"/>
          <w:highlight w:val="none"/>
        </w:rPr>
        <w:t>%作为履约保证金，</w:t>
      </w:r>
      <w:r>
        <w:rPr>
          <w:rFonts w:hint="eastAsia" w:ascii="宋体" w:hAnsi="宋体" w:eastAsia="宋体" w:cs="宋体"/>
          <w:sz w:val="24"/>
          <w:szCs w:val="24"/>
          <w:highlight w:val="none"/>
          <w:lang w:eastAsia="zh-CN"/>
        </w:rPr>
        <w:t>保函有效期须覆盖本项目服务期。服务期满，在</w:t>
      </w:r>
      <w:r>
        <w:rPr>
          <w:rFonts w:hint="eastAsia" w:ascii="宋体" w:hAnsi="宋体" w:eastAsia="宋体" w:cs="宋体"/>
          <w:sz w:val="24"/>
          <w:szCs w:val="24"/>
          <w:highlight w:val="none"/>
        </w:rPr>
        <w:t>无</w:t>
      </w:r>
      <w:r>
        <w:rPr>
          <w:rFonts w:hint="eastAsia" w:ascii="宋体" w:hAnsi="宋体" w:eastAsia="宋体" w:cs="宋体"/>
          <w:sz w:val="24"/>
          <w:szCs w:val="24"/>
          <w:highlight w:val="none"/>
          <w:lang w:eastAsia="zh-CN"/>
        </w:rPr>
        <w:t>纠纷</w:t>
      </w:r>
      <w:r>
        <w:rPr>
          <w:rFonts w:hint="eastAsia" w:ascii="宋体" w:hAnsi="宋体" w:eastAsia="宋体" w:cs="宋体"/>
          <w:sz w:val="24"/>
          <w:szCs w:val="24"/>
          <w:highlight w:val="none"/>
        </w:rPr>
        <w:t>或整改事项的前提下，采购人在收到</w:t>
      </w:r>
      <w:r>
        <w:rPr>
          <w:rFonts w:hint="eastAsia" w:ascii="宋体" w:hAnsi="宋体" w:cs="宋体"/>
          <w:sz w:val="24"/>
          <w:szCs w:val="24"/>
          <w:highlight w:val="none"/>
          <w:lang w:eastAsia="zh-CN"/>
        </w:rPr>
        <w:t>中标人</w:t>
      </w:r>
      <w:r>
        <w:rPr>
          <w:rFonts w:hint="eastAsia" w:ascii="宋体" w:hAnsi="宋体" w:eastAsia="宋体" w:cs="宋体"/>
          <w:sz w:val="24"/>
          <w:szCs w:val="24"/>
          <w:highlight w:val="none"/>
        </w:rPr>
        <w:t>提交书面申请后30日内无息退还。</w:t>
      </w:r>
    </w:p>
    <w:p w14:paraId="431332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5、是否邀请投标人参与验收：否。</w:t>
      </w:r>
    </w:p>
    <w:p w14:paraId="2D40139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6、验收方式数据表格 </w:t>
      </w:r>
    </w:p>
    <w:tbl>
      <w:tblPr>
        <w:tblStyle w:val="53"/>
        <w:tblW w:w="499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61"/>
        <w:gridCol w:w="8499"/>
      </w:tblGrid>
      <w:tr w14:paraId="3C12B8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646" w:type="pct"/>
            <w:tcBorders>
              <w:top w:val="outset" w:color="auto" w:sz="6" w:space="0"/>
              <w:left w:val="outset" w:color="auto" w:sz="6" w:space="0"/>
              <w:bottom w:val="outset" w:color="auto" w:sz="6" w:space="0"/>
              <w:right w:val="outset" w:color="auto" w:sz="6" w:space="0"/>
            </w:tcBorders>
            <w:shd w:val="clear" w:color="auto" w:fill="auto"/>
            <w:vAlign w:val="center"/>
          </w:tcPr>
          <w:p w14:paraId="56268E28">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验收期次</w:t>
            </w:r>
          </w:p>
        </w:tc>
        <w:tc>
          <w:tcPr>
            <w:tcW w:w="4353" w:type="pct"/>
            <w:tcBorders>
              <w:top w:val="outset" w:color="auto" w:sz="6" w:space="0"/>
              <w:left w:val="outset" w:color="auto" w:sz="6" w:space="0"/>
              <w:bottom w:val="outset" w:color="auto" w:sz="6" w:space="0"/>
              <w:right w:val="outset" w:color="auto" w:sz="6" w:space="0"/>
            </w:tcBorders>
            <w:shd w:val="clear" w:color="auto" w:fill="auto"/>
            <w:vAlign w:val="center"/>
          </w:tcPr>
          <w:p w14:paraId="3A6DAE6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验收期次说明</w:t>
            </w:r>
          </w:p>
        </w:tc>
      </w:tr>
      <w:tr w14:paraId="038DA8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646" w:type="pct"/>
            <w:tcBorders>
              <w:top w:val="outset" w:color="auto" w:sz="6" w:space="0"/>
              <w:left w:val="outset" w:color="auto" w:sz="6" w:space="0"/>
              <w:bottom w:val="outset" w:color="auto" w:sz="6" w:space="0"/>
              <w:right w:val="outset" w:color="auto" w:sz="6" w:space="0"/>
            </w:tcBorders>
            <w:shd w:val="clear" w:color="auto" w:fill="auto"/>
            <w:vAlign w:val="center"/>
          </w:tcPr>
          <w:p w14:paraId="3CCA26C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4353" w:type="pct"/>
            <w:tcBorders>
              <w:top w:val="outset" w:color="auto" w:sz="6" w:space="0"/>
              <w:left w:val="outset" w:color="auto" w:sz="6" w:space="0"/>
              <w:bottom w:val="outset" w:color="auto" w:sz="6" w:space="0"/>
              <w:right w:val="outset" w:color="auto" w:sz="6" w:space="0"/>
            </w:tcBorders>
            <w:shd w:val="clear" w:color="auto" w:fill="auto"/>
            <w:vAlign w:val="center"/>
          </w:tcPr>
          <w:p w14:paraId="7700BA24">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按合同约定和招标文件、投标文件相关要求及国家相关行业标准规定执行</w:t>
            </w:r>
          </w:p>
        </w:tc>
      </w:tr>
    </w:tbl>
    <w:p w14:paraId="771A838C">
      <w:pPr>
        <w:numPr>
          <w:ilvl w:val="0"/>
          <w:numId w:val="16"/>
        </w:num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支付</w:t>
      </w:r>
      <w:r>
        <w:rPr>
          <w:rFonts w:hint="eastAsia" w:ascii="宋体" w:hAnsi="宋体" w:cs="宋体"/>
          <w:color w:val="auto"/>
          <w:sz w:val="24"/>
          <w:szCs w:val="24"/>
          <w:highlight w:val="none"/>
          <w:lang w:eastAsia="zh-CN"/>
        </w:rPr>
        <w:t>方式</w:t>
      </w:r>
    </w:p>
    <w:p w14:paraId="0F24DF99">
      <w:pPr>
        <w:numPr>
          <w:ilvl w:val="0"/>
          <w:numId w:val="0"/>
        </w:num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7.1</w:t>
      </w:r>
      <w:r>
        <w:rPr>
          <w:rFonts w:hint="eastAsia" w:ascii="宋体" w:hAnsi="宋体" w:cs="宋体"/>
          <w:color w:val="auto"/>
          <w:sz w:val="24"/>
          <w:szCs w:val="24"/>
          <w:highlight w:val="none"/>
        </w:rPr>
        <w:t>按月支付，采购人根据每月考核结果按实核发，中标人向采购人提供发票，</w:t>
      </w:r>
      <w:r>
        <w:rPr>
          <w:rFonts w:hint="eastAsia" w:ascii="宋体" w:hAnsi="宋体" w:eastAsia="宋体" w:cs="宋体"/>
          <w:sz w:val="24"/>
          <w:szCs w:val="24"/>
          <w:highlight w:val="none"/>
          <w:lang w:eastAsia="zh-CN"/>
        </w:rPr>
        <w:t>采购人将在收到中标人提供的发票后</w:t>
      </w:r>
      <w:r>
        <w:rPr>
          <w:rFonts w:hint="eastAsia" w:ascii="宋体" w:hAnsi="宋体" w:eastAsia="宋体" w:cs="宋体"/>
          <w:sz w:val="24"/>
          <w:szCs w:val="24"/>
          <w:highlight w:val="none"/>
          <w:lang w:val="en-US" w:eastAsia="zh-CN"/>
        </w:rPr>
        <w:t>10个工作日内支付</w:t>
      </w:r>
      <w:r>
        <w:rPr>
          <w:rFonts w:hint="eastAsia" w:ascii="宋体" w:hAnsi="宋体" w:cs="宋体"/>
          <w:color w:val="auto"/>
          <w:sz w:val="24"/>
          <w:szCs w:val="24"/>
          <w:highlight w:val="none"/>
          <w:lang w:val="en-US" w:eastAsia="zh-CN"/>
        </w:rPr>
        <w:t>。</w:t>
      </w:r>
    </w:p>
    <w:p w14:paraId="01E1FAB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8、违约责任</w:t>
      </w:r>
    </w:p>
    <w:p w14:paraId="431F404E">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8.1</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逾期履行服务的，</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应按</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每日万分之二向采购人支付违约金，由采购人从待付</w:t>
      </w:r>
      <w:r>
        <w:rPr>
          <w:rFonts w:hint="eastAsia" w:ascii="宋体" w:hAnsi="宋体" w:eastAsia="宋体" w:cs="宋体"/>
          <w:sz w:val="24"/>
          <w:szCs w:val="24"/>
          <w:highlight w:val="none"/>
          <w:lang w:val="en-US" w:eastAsia="zh-CN"/>
        </w:rPr>
        <w:t>款项</w:t>
      </w:r>
      <w:r>
        <w:rPr>
          <w:rFonts w:hint="eastAsia" w:ascii="宋体" w:hAnsi="宋体" w:eastAsia="宋体" w:cs="宋体"/>
          <w:sz w:val="24"/>
          <w:szCs w:val="24"/>
          <w:highlight w:val="none"/>
        </w:rPr>
        <w:t>中扣除。</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无正当理由逾期超过约定日期七日仍不能交付的，视为“</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不按合同约定履约”；</w:t>
      </w:r>
    </w:p>
    <w:p w14:paraId="31913D35">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8.2</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所履行的服务不符合合同规定，采购人有权拒绝，</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愿意整改但逾期履行的，按</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逾期履行处理。</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拒绝整改的，视为“</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不按合同约定履约”；</w:t>
      </w:r>
    </w:p>
    <w:p w14:paraId="7982BD35">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8.3</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不按合同约定履约的，采购人可以解除采购合同，并对</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已缴纳的履约保证金作“不予退还”处理。同时，</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须向采购人支付违约金：</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的20%。</w:t>
      </w:r>
    </w:p>
    <w:p w14:paraId="68D296F1">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8.4</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应按照</w:t>
      </w:r>
      <w:r>
        <w:rPr>
          <w:rFonts w:hint="eastAsia" w:ascii="宋体" w:hAnsi="宋体" w:eastAsia="宋体" w:cs="宋体"/>
          <w:sz w:val="24"/>
          <w:szCs w:val="24"/>
          <w:highlight w:val="none"/>
          <w:lang w:eastAsia="zh-CN"/>
        </w:rPr>
        <w:t>要求</w:t>
      </w:r>
      <w:r>
        <w:rPr>
          <w:rFonts w:hint="eastAsia" w:ascii="宋体" w:hAnsi="宋体" w:eastAsia="宋体" w:cs="宋体"/>
          <w:sz w:val="24"/>
          <w:szCs w:val="24"/>
          <w:highlight w:val="none"/>
        </w:rPr>
        <w:t>配置足额人员，采购人有权拒绝支付不足部分人员工资，</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拒绝整改的，视为“</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不按合同约定履约”。</w:t>
      </w:r>
    </w:p>
    <w:p w14:paraId="2BAF29C8">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8.5中标人应与其安排为采购人提供服务的人员成立劳动关系，按法律规定缴纳社保保险等，若中标人与保安员产生劳动争议等纠纷的，中标人应及时处理并承担所有责任，与采购人无关。</w:t>
      </w:r>
    </w:p>
    <w:p w14:paraId="70B2B778">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8.6若中标人安排的保安员存在违反采购人要求等的，采购人有权要求中标人更换服务人员。</w:t>
      </w:r>
    </w:p>
    <w:p w14:paraId="50455C6B">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8.7中标人不得将本合同项下的服务内容转包或分包给第三方，若存在该种情形，采购人有权解除合同，中标人已缴纳的履约保证金作“不予退还”处理，</w:t>
      </w:r>
      <w:r>
        <w:rPr>
          <w:rFonts w:hint="eastAsia" w:ascii="宋体" w:hAnsi="宋体" w:eastAsia="宋体" w:cs="宋体"/>
          <w:sz w:val="24"/>
          <w:szCs w:val="24"/>
          <w:highlight w:val="none"/>
          <w:lang w:eastAsia="zh-CN"/>
        </w:rPr>
        <w:t>中标人</w:t>
      </w:r>
      <w:r>
        <w:rPr>
          <w:rFonts w:hint="eastAsia" w:ascii="宋体" w:hAnsi="宋体" w:eastAsia="宋体" w:cs="宋体"/>
          <w:sz w:val="24"/>
          <w:szCs w:val="24"/>
          <w:highlight w:val="none"/>
        </w:rPr>
        <w:t>须向采购人支付违约金：</w:t>
      </w:r>
      <w:r>
        <w:rPr>
          <w:rFonts w:hint="eastAsia" w:ascii="宋体" w:hAnsi="宋体" w:eastAsia="宋体" w:cs="宋体"/>
          <w:sz w:val="24"/>
          <w:szCs w:val="24"/>
          <w:highlight w:val="none"/>
          <w:lang w:eastAsia="zh-CN"/>
        </w:rPr>
        <w:t>合同金额</w:t>
      </w:r>
      <w:r>
        <w:rPr>
          <w:rFonts w:hint="eastAsia" w:ascii="宋体" w:hAnsi="宋体" w:eastAsia="宋体" w:cs="宋体"/>
          <w:sz w:val="24"/>
          <w:szCs w:val="24"/>
          <w:highlight w:val="none"/>
        </w:rPr>
        <w:t>的20%</w:t>
      </w:r>
      <w:r>
        <w:rPr>
          <w:rFonts w:hint="eastAsia" w:ascii="宋体" w:hAnsi="宋体" w:eastAsia="宋体" w:cs="宋体"/>
          <w:sz w:val="24"/>
          <w:szCs w:val="24"/>
          <w:highlight w:val="none"/>
          <w:lang w:val="en-US" w:eastAsia="zh-CN"/>
        </w:rPr>
        <w:t>。</w:t>
      </w:r>
    </w:p>
    <w:p w14:paraId="5EC689C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9、仲裁、诉讼条款</w:t>
      </w:r>
    </w:p>
    <w:p w14:paraId="50D1178C">
      <w:pPr>
        <w:pStyle w:val="500"/>
        <w:keepNext w:val="0"/>
        <w:keepLines w:val="0"/>
        <w:pageBreakBefore w:val="0"/>
        <w:kinsoku/>
        <w:wordWrap/>
        <w:overflowPunct/>
        <w:topLinePunct w:val="0"/>
        <w:autoSpaceDE/>
        <w:autoSpaceDN/>
        <w:bidi w:val="0"/>
        <w:adjustRightInd/>
        <w:snapToGrid/>
        <w:spacing w:line="400" w:lineRule="atLeast"/>
        <w:ind w:firstLine="48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因采购或与采购合同有关的一切事项发生争议，由采购人和</w:t>
      </w:r>
      <w:r>
        <w:rPr>
          <w:rFonts w:hint="eastAsia" w:ascii="宋体" w:hAnsi="宋体" w:eastAsia="宋体" w:cs="宋体"/>
          <w:sz w:val="24"/>
          <w:szCs w:val="24"/>
          <w:highlight w:val="none"/>
          <w:lang w:eastAsia="zh-CN"/>
        </w:rPr>
        <w:t>中标</w:t>
      </w:r>
      <w:r>
        <w:rPr>
          <w:rFonts w:hint="eastAsia" w:ascii="宋体" w:hAnsi="宋体" w:eastAsia="宋体" w:cs="宋体"/>
          <w:sz w:val="24"/>
          <w:szCs w:val="24"/>
          <w:highlight w:val="none"/>
        </w:rPr>
        <w:t>人双方友好协商解决。协商不成的，任何一方均可选择以下方式解决：向采购人所在地有管辖权的人民法院提起诉讼。</w:t>
      </w:r>
    </w:p>
    <w:p w14:paraId="2EA027C4">
      <w:pPr>
        <w:widowControl/>
        <w:spacing w:line="46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10、保密条款</w:t>
      </w:r>
    </w:p>
    <w:p w14:paraId="56B1A1C4">
      <w:pPr>
        <w:widowControl/>
        <w:spacing w:line="4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b w:val="0"/>
          <w:bCs/>
          <w:sz w:val="24"/>
          <w:szCs w:val="24"/>
          <w:highlight w:val="none"/>
          <w:lang w:val="en-US" w:eastAsia="zh-CN"/>
        </w:rPr>
        <w:t>双方在签订、履行本合同过程中知悉的秘密、对方提供的资料、以及对本合同内容均负有保密义务，未经对方许可，任何时候均不得向第三者公开、泄露及不正当使用。</w:t>
      </w:r>
      <w:r>
        <w:rPr>
          <w:rFonts w:hint="eastAsia" w:ascii="宋体" w:hAnsi="宋体" w:cs="宋体"/>
          <w:b w:val="0"/>
          <w:bCs/>
          <w:sz w:val="24"/>
          <w:szCs w:val="24"/>
          <w:highlight w:val="none"/>
          <w:lang w:val="en-US" w:eastAsia="zh-CN"/>
        </w:rPr>
        <w:t>中标人保安</w:t>
      </w:r>
      <w:r>
        <w:rPr>
          <w:rFonts w:hint="eastAsia" w:ascii="宋体" w:hAnsi="宋体" w:eastAsia="宋体" w:cs="宋体"/>
          <w:b w:val="0"/>
          <w:bCs/>
          <w:sz w:val="24"/>
          <w:szCs w:val="24"/>
          <w:highlight w:val="none"/>
          <w:lang w:val="en-US" w:eastAsia="zh-CN"/>
        </w:rPr>
        <w:t>员不得将</w:t>
      </w:r>
      <w:r>
        <w:rPr>
          <w:rFonts w:hint="eastAsia" w:ascii="宋体" w:hAnsi="宋体" w:cs="宋体"/>
          <w:b w:val="0"/>
          <w:bCs/>
          <w:sz w:val="24"/>
          <w:szCs w:val="24"/>
          <w:highlight w:val="none"/>
          <w:lang w:val="en-US" w:eastAsia="zh-CN"/>
        </w:rPr>
        <w:t>采购人</w:t>
      </w:r>
      <w:r>
        <w:rPr>
          <w:rFonts w:hint="eastAsia" w:ascii="宋体" w:hAnsi="宋体" w:eastAsia="宋体" w:cs="宋体"/>
          <w:b w:val="0"/>
          <w:bCs/>
          <w:sz w:val="24"/>
          <w:szCs w:val="24"/>
          <w:highlight w:val="none"/>
          <w:lang w:val="en-US" w:eastAsia="zh-CN"/>
        </w:rPr>
        <w:t>有关情况信息及技防人防等信息泄露。否则给</w:t>
      </w:r>
      <w:r>
        <w:rPr>
          <w:rFonts w:hint="eastAsia" w:ascii="宋体" w:hAnsi="宋体" w:cs="宋体"/>
          <w:b w:val="0"/>
          <w:bCs/>
          <w:sz w:val="24"/>
          <w:szCs w:val="24"/>
          <w:highlight w:val="none"/>
          <w:lang w:val="en-US" w:eastAsia="zh-CN"/>
        </w:rPr>
        <w:t>采购人</w:t>
      </w:r>
      <w:r>
        <w:rPr>
          <w:rFonts w:hint="eastAsia" w:ascii="宋体" w:hAnsi="宋体" w:eastAsia="宋体" w:cs="宋体"/>
          <w:b w:val="0"/>
          <w:bCs/>
          <w:sz w:val="24"/>
          <w:szCs w:val="24"/>
          <w:highlight w:val="none"/>
          <w:lang w:val="en-US" w:eastAsia="zh-CN"/>
        </w:rPr>
        <w:t>造成损失的，须承担相关法律责任。</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与派驻</w:t>
      </w:r>
      <w:r>
        <w:rPr>
          <w:rFonts w:hint="eastAsia" w:ascii="宋体" w:hAnsi="宋体" w:cs="宋体"/>
          <w:b w:val="0"/>
          <w:bCs/>
          <w:sz w:val="24"/>
          <w:szCs w:val="24"/>
          <w:highlight w:val="none"/>
          <w:lang w:val="en-US" w:eastAsia="zh-CN"/>
        </w:rPr>
        <w:t>保安员</w:t>
      </w:r>
      <w:r>
        <w:rPr>
          <w:rFonts w:hint="eastAsia" w:ascii="宋体" w:hAnsi="宋体" w:eastAsia="宋体" w:cs="宋体"/>
          <w:b w:val="0"/>
          <w:bCs/>
          <w:sz w:val="24"/>
          <w:szCs w:val="24"/>
          <w:highlight w:val="none"/>
          <w:lang w:val="en-US" w:eastAsia="zh-CN"/>
        </w:rPr>
        <w:t>必须签订保密协议，</w:t>
      </w:r>
      <w:r>
        <w:rPr>
          <w:rFonts w:hint="eastAsia" w:ascii="宋体" w:hAnsi="宋体" w:cs="宋体"/>
          <w:b w:val="0"/>
          <w:bCs/>
          <w:sz w:val="24"/>
          <w:szCs w:val="24"/>
          <w:highlight w:val="none"/>
          <w:lang w:val="en-US" w:eastAsia="zh-CN"/>
        </w:rPr>
        <w:t>中标人</w:t>
      </w:r>
      <w:r>
        <w:rPr>
          <w:rFonts w:hint="eastAsia" w:ascii="宋体" w:hAnsi="宋体" w:eastAsia="宋体" w:cs="宋体"/>
          <w:b w:val="0"/>
          <w:bCs/>
          <w:sz w:val="24"/>
          <w:szCs w:val="24"/>
          <w:highlight w:val="none"/>
          <w:lang w:val="en-US" w:eastAsia="zh-CN"/>
        </w:rPr>
        <w:t>需连同人员信息一并提交给采购人存档。</w:t>
      </w:r>
    </w:p>
    <w:p w14:paraId="7044415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、考核管理规定</w:t>
      </w:r>
    </w:p>
    <w:p w14:paraId="3EDA518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考评细则：采购人每月对中标人工作服务进行考核，考核标准按照《保安服务考核表》执行。</w:t>
      </w:r>
    </w:p>
    <w:p w14:paraId="60CD996E">
      <w:pPr>
        <w:pStyle w:val="21"/>
        <w:spacing w:before="78" w:line="221" w:lineRule="auto"/>
        <w:ind w:left="3688"/>
        <w:rPr>
          <w:rFonts w:hint="eastAsia" w:ascii="宋体" w:hAnsi="宋体" w:cs="宋体"/>
          <w:color w:val="auto"/>
          <w:sz w:val="24"/>
          <w:szCs w:val="24"/>
          <w:highlight w:val="none"/>
        </w:rPr>
      </w:pPr>
      <w:r>
        <w:rPr>
          <w:rFonts w:hint="eastAsia" w:ascii="宋体" w:hAnsi="宋体" w:cs="宋体"/>
          <w:color w:val="auto"/>
          <w:sz w:val="24"/>
          <w:szCs w:val="24"/>
          <w:highlight w:val="none"/>
        </w:rPr>
        <w:t>保安服务考核表</w:t>
      </w:r>
    </w:p>
    <w:tbl>
      <w:tblPr>
        <w:tblStyle w:val="53"/>
        <w:tblW w:w="8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4337"/>
        <w:gridCol w:w="1248"/>
        <w:gridCol w:w="1384"/>
        <w:gridCol w:w="727"/>
      </w:tblGrid>
      <w:tr w14:paraId="673C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1BF64A72">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337" w:type="dxa"/>
            <w:tcMar>
              <w:top w:w="0" w:type="dxa"/>
              <w:left w:w="105" w:type="dxa"/>
              <w:bottom w:w="0" w:type="dxa"/>
              <w:right w:w="105" w:type="dxa"/>
            </w:tcMar>
            <w:vAlign w:val="top"/>
          </w:tcPr>
          <w:p w14:paraId="7DF269D0">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考核内容及标准</w:t>
            </w:r>
          </w:p>
        </w:tc>
        <w:tc>
          <w:tcPr>
            <w:tcW w:w="1248" w:type="dxa"/>
            <w:tcMar>
              <w:top w:w="0" w:type="dxa"/>
              <w:left w:w="105" w:type="dxa"/>
              <w:bottom w:w="0" w:type="dxa"/>
              <w:right w:w="105" w:type="dxa"/>
            </w:tcMar>
            <w:vAlign w:val="top"/>
          </w:tcPr>
          <w:p w14:paraId="4612B413">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总分</w:t>
            </w:r>
          </w:p>
        </w:tc>
        <w:tc>
          <w:tcPr>
            <w:tcW w:w="1384" w:type="dxa"/>
            <w:tcMar>
              <w:top w:w="0" w:type="dxa"/>
              <w:left w:w="105" w:type="dxa"/>
              <w:bottom w:w="0" w:type="dxa"/>
              <w:right w:w="105" w:type="dxa"/>
            </w:tcMar>
            <w:vAlign w:val="top"/>
          </w:tcPr>
          <w:p w14:paraId="28BCDAE7">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考核得分</w:t>
            </w:r>
          </w:p>
        </w:tc>
        <w:tc>
          <w:tcPr>
            <w:tcW w:w="727" w:type="dxa"/>
            <w:tcMar>
              <w:top w:w="0" w:type="dxa"/>
              <w:left w:w="105" w:type="dxa"/>
              <w:bottom w:w="0" w:type="dxa"/>
              <w:right w:w="105" w:type="dxa"/>
            </w:tcMar>
            <w:vAlign w:val="top"/>
          </w:tcPr>
          <w:p w14:paraId="2B52FCE9">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6AFD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18C53C8B">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337" w:type="dxa"/>
            <w:tcMar>
              <w:top w:w="0" w:type="dxa"/>
              <w:left w:w="105" w:type="dxa"/>
              <w:bottom w:w="0" w:type="dxa"/>
              <w:right w:w="105" w:type="dxa"/>
            </w:tcMar>
            <w:vAlign w:val="top"/>
          </w:tcPr>
          <w:p w14:paraId="1BCC2462">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服从</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管理和工作安排，遵守</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有关制度要求。</w:t>
            </w:r>
          </w:p>
          <w:p w14:paraId="0E00A0D4">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17336FA7">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16ECD14E">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1A0C954D">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1553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539D7F1D">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337" w:type="dxa"/>
            <w:tcMar>
              <w:top w:w="0" w:type="dxa"/>
              <w:left w:w="105" w:type="dxa"/>
              <w:bottom w:w="0" w:type="dxa"/>
              <w:right w:w="105" w:type="dxa"/>
            </w:tcMar>
            <w:vAlign w:val="top"/>
          </w:tcPr>
          <w:p w14:paraId="3ACC3D34">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保安员须准时上下班，保持在岗在位，不随意离岗、擅自找人替岗。</w:t>
            </w:r>
          </w:p>
          <w:p w14:paraId="14CB0196">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保安员未准时上下班的，每发现一次扣1分，上班期间擅自缺岗、脱岗的，每发现一次扣2分，本项最低得0分。</w:t>
            </w:r>
          </w:p>
        </w:tc>
        <w:tc>
          <w:tcPr>
            <w:tcW w:w="1248" w:type="dxa"/>
            <w:tcMar>
              <w:top w:w="0" w:type="dxa"/>
              <w:left w:w="105" w:type="dxa"/>
              <w:bottom w:w="0" w:type="dxa"/>
              <w:right w:w="105" w:type="dxa"/>
            </w:tcMar>
            <w:vAlign w:val="top"/>
          </w:tcPr>
          <w:p w14:paraId="32CD98C1">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7F9A988A">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23521EC7">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21F0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7250B23D">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337" w:type="dxa"/>
            <w:tcMar>
              <w:top w:w="0" w:type="dxa"/>
              <w:left w:w="105" w:type="dxa"/>
              <w:bottom w:w="0" w:type="dxa"/>
              <w:right w:w="105" w:type="dxa"/>
            </w:tcMar>
            <w:vAlign w:val="top"/>
          </w:tcPr>
          <w:p w14:paraId="4FB3F694">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须按合同约定的数量为采购人配备保安员，不得擅自减少保安员数量。</w:t>
            </w:r>
          </w:p>
          <w:p w14:paraId="379269F1">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未按合同约定的数量配备保安员的，每少1人扣5分，本项最低得0分。少5人以上的，当月保安服务费不予支付。</w:t>
            </w:r>
          </w:p>
        </w:tc>
        <w:tc>
          <w:tcPr>
            <w:tcW w:w="1248" w:type="dxa"/>
            <w:tcMar>
              <w:top w:w="0" w:type="dxa"/>
              <w:left w:w="105" w:type="dxa"/>
              <w:bottom w:w="0" w:type="dxa"/>
              <w:right w:w="105" w:type="dxa"/>
            </w:tcMar>
            <w:vAlign w:val="top"/>
          </w:tcPr>
          <w:p w14:paraId="3621721D">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20分</w:t>
            </w:r>
          </w:p>
        </w:tc>
        <w:tc>
          <w:tcPr>
            <w:tcW w:w="1384" w:type="dxa"/>
            <w:tcMar>
              <w:top w:w="0" w:type="dxa"/>
              <w:left w:w="105" w:type="dxa"/>
              <w:bottom w:w="0" w:type="dxa"/>
              <w:right w:w="105" w:type="dxa"/>
            </w:tcMar>
            <w:vAlign w:val="top"/>
          </w:tcPr>
          <w:p w14:paraId="7346808F">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112E4A35">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480DB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10F60282">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337" w:type="dxa"/>
            <w:tcMar>
              <w:top w:w="0" w:type="dxa"/>
              <w:left w:w="105" w:type="dxa"/>
              <w:bottom w:w="0" w:type="dxa"/>
              <w:right w:w="105" w:type="dxa"/>
            </w:tcMar>
            <w:vAlign w:val="top"/>
          </w:tcPr>
          <w:p w14:paraId="6ECBFC4C">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保安员须按规定着装，佩戴保安器械，保持良好形象。</w:t>
            </w:r>
          </w:p>
          <w:p w14:paraId="460D7BEC">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6938E5BF">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74D339CE">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1F18260C">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46A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140F9FEA">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337" w:type="dxa"/>
            <w:tcMar>
              <w:top w:w="0" w:type="dxa"/>
              <w:left w:w="105" w:type="dxa"/>
              <w:bottom w:w="0" w:type="dxa"/>
              <w:right w:w="105" w:type="dxa"/>
            </w:tcMar>
            <w:vAlign w:val="top"/>
          </w:tcPr>
          <w:p w14:paraId="577750FB">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严禁保安员酒后上岗及在岗喝酒，或值班期间私自会客、聚众打牌等。</w:t>
            </w:r>
          </w:p>
          <w:p w14:paraId="702E2673">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6632579C">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4829AF2E">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2154CCE3">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764D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512F0798">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4337" w:type="dxa"/>
            <w:tcMar>
              <w:top w:w="0" w:type="dxa"/>
              <w:left w:w="105" w:type="dxa"/>
              <w:bottom w:w="0" w:type="dxa"/>
              <w:right w:w="105" w:type="dxa"/>
            </w:tcMar>
            <w:vAlign w:val="top"/>
          </w:tcPr>
          <w:p w14:paraId="64557E02">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严格落实进出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单位的人员、车辆、货物及巡逻登记。</w:t>
            </w:r>
          </w:p>
          <w:p w14:paraId="1D39A37C">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2AB9E706">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1384" w:type="dxa"/>
            <w:tcMar>
              <w:top w:w="0" w:type="dxa"/>
              <w:left w:w="105" w:type="dxa"/>
              <w:bottom w:w="0" w:type="dxa"/>
              <w:right w:w="105" w:type="dxa"/>
            </w:tcMar>
            <w:vAlign w:val="top"/>
          </w:tcPr>
          <w:p w14:paraId="5C3E7BF1">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1A9DC0EC">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2CF0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6CD2E635">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4337" w:type="dxa"/>
            <w:tcMar>
              <w:top w:w="0" w:type="dxa"/>
              <w:left w:w="105" w:type="dxa"/>
              <w:bottom w:w="0" w:type="dxa"/>
              <w:right w:w="105" w:type="dxa"/>
            </w:tcMar>
            <w:vAlign w:val="top"/>
          </w:tcPr>
          <w:p w14:paraId="157448A7">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保安员须认真做好责任区的环境卫生和个人卫生整洁，安保器摆放在随手可以拿到的地方，保持整洁。</w:t>
            </w:r>
          </w:p>
          <w:p w14:paraId="2146B78C">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49EBFFE8">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1384" w:type="dxa"/>
            <w:tcMar>
              <w:top w:w="0" w:type="dxa"/>
              <w:left w:w="105" w:type="dxa"/>
              <w:bottom w:w="0" w:type="dxa"/>
              <w:right w:w="105" w:type="dxa"/>
            </w:tcMar>
            <w:vAlign w:val="top"/>
          </w:tcPr>
          <w:p w14:paraId="3999EB1D">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64383767">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41C1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20A89683">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4337" w:type="dxa"/>
            <w:tcMar>
              <w:top w:w="0" w:type="dxa"/>
              <w:left w:w="105" w:type="dxa"/>
              <w:bottom w:w="0" w:type="dxa"/>
              <w:right w:w="105" w:type="dxa"/>
            </w:tcMar>
            <w:vAlign w:val="top"/>
          </w:tcPr>
          <w:p w14:paraId="0D6F55F5">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保安员须文明执勤、礼貌待人、维护</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单位出入口的治安和交通秩序。遇上级领导检查起立敬礼、如实回答问题。</w:t>
            </w:r>
          </w:p>
          <w:p w14:paraId="6D596A9E">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71E2E5BC">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7E7586A2">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775896D3">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493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0793AA7A">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4337" w:type="dxa"/>
            <w:tcMar>
              <w:top w:w="0" w:type="dxa"/>
              <w:left w:w="105" w:type="dxa"/>
              <w:bottom w:w="0" w:type="dxa"/>
              <w:right w:w="105" w:type="dxa"/>
            </w:tcMar>
            <w:vAlign w:val="top"/>
          </w:tcPr>
          <w:p w14:paraId="560C4525">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lang w:val="en-US" w:eastAsia="zh-CN"/>
              </w:rPr>
              <w:t>中标人</w:t>
            </w:r>
            <w:r>
              <w:rPr>
                <w:rFonts w:hint="eastAsia" w:ascii="宋体" w:hAnsi="宋体" w:eastAsia="宋体" w:cs="宋体"/>
                <w:sz w:val="24"/>
                <w:szCs w:val="24"/>
                <w:highlight w:val="none"/>
              </w:rPr>
              <w:t>须按要求开展治安巡逻、看护、安全检查，负责监控、报警设备维护、管理和使用。</w:t>
            </w:r>
          </w:p>
          <w:p w14:paraId="610AB677">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5E63CABD">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1384" w:type="dxa"/>
            <w:tcMar>
              <w:top w:w="0" w:type="dxa"/>
              <w:left w:w="105" w:type="dxa"/>
              <w:bottom w:w="0" w:type="dxa"/>
              <w:right w:w="105" w:type="dxa"/>
            </w:tcMar>
            <w:vAlign w:val="top"/>
          </w:tcPr>
          <w:p w14:paraId="7A5E251B">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7A200BCE">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33C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24641D46">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4337" w:type="dxa"/>
            <w:tcMar>
              <w:top w:w="0" w:type="dxa"/>
              <w:left w:w="105" w:type="dxa"/>
              <w:bottom w:w="0" w:type="dxa"/>
              <w:right w:w="105" w:type="dxa"/>
            </w:tcMar>
            <w:vAlign w:val="top"/>
          </w:tcPr>
          <w:p w14:paraId="419A275E">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保安员须及时发现和制止发生在</w:t>
            </w:r>
            <w:r>
              <w:rPr>
                <w:rFonts w:hint="eastAsia" w:ascii="宋体" w:hAnsi="宋体" w:eastAsia="宋体" w:cs="宋体"/>
                <w:sz w:val="24"/>
                <w:szCs w:val="24"/>
                <w:highlight w:val="none"/>
                <w:lang w:eastAsia="zh-CN"/>
              </w:rPr>
              <w:t>采购人单位</w:t>
            </w:r>
            <w:r>
              <w:rPr>
                <w:rFonts w:hint="eastAsia" w:ascii="宋体" w:hAnsi="宋体" w:eastAsia="宋体" w:cs="宋体"/>
                <w:sz w:val="24"/>
                <w:szCs w:val="24"/>
                <w:highlight w:val="none"/>
              </w:rPr>
              <w:t>及周围的违法犯罪行为，立即报警并采取措施保护现场。</w:t>
            </w:r>
          </w:p>
          <w:p w14:paraId="7EFF2948">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634398DF">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1384" w:type="dxa"/>
            <w:tcMar>
              <w:top w:w="0" w:type="dxa"/>
              <w:left w:w="105" w:type="dxa"/>
              <w:bottom w:w="0" w:type="dxa"/>
              <w:right w:w="105" w:type="dxa"/>
            </w:tcMar>
            <w:vAlign w:val="top"/>
          </w:tcPr>
          <w:p w14:paraId="39724968">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5F523EE1">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7B6E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1162F63B">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4337" w:type="dxa"/>
            <w:tcMar>
              <w:top w:w="0" w:type="dxa"/>
              <w:left w:w="105" w:type="dxa"/>
              <w:bottom w:w="0" w:type="dxa"/>
              <w:right w:w="105" w:type="dxa"/>
            </w:tcMar>
            <w:vAlign w:val="top"/>
          </w:tcPr>
          <w:p w14:paraId="2E57FBEF">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配合</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单位做好防火、防盗、防破坏、防治安灾害事故发生，发现不安全因素及时报告。</w:t>
            </w:r>
          </w:p>
          <w:p w14:paraId="7B8A83A2">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761EB95D">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1384" w:type="dxa"/>
            <w:tcMar>
              <w:top w:w="0" w:type="dxa"/>
              <w:left w:w="105" w:type="dxa"/>
              <w:bottom w:w="0" w:type="dxa"/>
              <w:right w:w="105" w:type="dxa"/>
            </w:tcMar>
            <w:vAlign w:val="top"/>
          </w:tcPr>
          <w:p w14:paraId="5A471181">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2CB987C9">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3CEE3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4" w:type="dxa"/>
            <w:tcMar>
              <w:top w:w="0" w:type="dxa"/>
              <w:left w:w="105" w:type="dxa"/>
              <w:bottom w:w="0" w:type="dxa"/>
              <w:right w:w="105" w:type="dxa"/>
            </w:tcMar>
            <w:vAlign w:val="top"/>
          </w:tcPr>
          <w:p w14:paraId="5D660001">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4337" w:type="dxa"/>
            <w:tcMar>
              <w:top w:w="0" w:type="dxa"/>
              <w:left w:w="105" w:type="dxa"/>
              <w:bottom w:w="0" w:type="dxa"/>
              <w:right w:w="105" w:type="dxa"/>
            </w:tcMar>
            <w:vAlign w:val="top"/>
          </w:tcPr>
          <w:p w14:paraId="3593EFBF">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考核内容：</w:t>
            </w:r>
            <w:r>
              <w:rPr>
                <w:rFonts w:hint="eastAsia" w:ascii="宋体" w:hAnsi="宋体" w:eastAsia="宋体" w:cs="宋体"/>
                <w:sz w:val="24"/>
                <w:szCs w:val="24"/>
                <w:highlight w:val="none"/>
              </w:rPr>
              <w:t>做好上传下达和请示汇报工作，收集及向采购人报告单位治安动态和信息。</w:t>
            </w:r>
          </w:p>
          <w:p w14:paraId="2DBCC7E2">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考核标准：</w:t>
            </w:r>
            <w:r>
              <w:rPr>
                <w:rFonts w:hint="eastAsia" w:ascii="宋体" w:hAnsi="宋体" w:eastAsia="宋体" w:cs="宋体"/>
                <w:sz w:val="24"/>
                <w:szCs w:val="24"/>
                <w:highlight w:val="none"/>
              </w:rPr>
              <w:t>每违反一次扣1分，本项最低得0分。</w:t>
            </w:r>
          </w:p>
        </w:tc>
        <w:tc>
          <w:tcPr>
            <w:tcW w:w="1248" w:type="dxa"/>
            <w:tcMar>
              <w:top w:w="0" w:type="dxa"/>
              <w:left w:w="105" w:type="dxa"/>
              <w:bottom w:w="0" w:type="dxa"/>
              <w:right w:w="105" w:type="dxa"/>
            </w:tcMar>
            <w:vAlign w:val="top"/>
          </w:tcPr>
          <w:p w14:paraId="2393FDF7">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5分</w:t>
            </w:r>
          </w:p>
        </w:tc>
        <w:tc>
          <w:tcPr>
            <w:tcW w:w="1384" w:type="dxa"/>
            <w:tcMar>
              <w:top w:w="0" w:type="dxa"/>
              <w:left w:w="105" w:type="dxa"/>
              <w:bottom w:w="0" w:type="dxa"/>
              <w:right w:w="105" w:type="dxa"/>
            </w:tcMar>
            <w:vAlign w:val="top"/>
          </w:tcPr>
          <w:p w14:paraId="4F36F271">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21D37204">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16DB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1" w:type="dxa"/>
            <w:gridSpan w:val="2"/>
            <w:tcMar>
              <w:top w:w="0" w:type="dxa"/>
              <w:left w:w="105" w:type="dxa"/>
              <w:bottom w:w="0" w:type="dxa"/>
              <w:right w:w="105" w:type="dxa"/>
            </w:tcMar>
            <w:vAlign w:val="top"/>
          </w:tcPr>
          <w:p w14:paraId="2B0DEFF0">
            <w:pPr>
              <w:keepNext w:val="0"/>
              <w:keepLines w:val="0"/>
              <w:pageBreakBefore w:val="0"/>
              <w:kinsoku/>
              <w:wordWrap/>
              <w:overflowPunct/>
              <w:topLinePunct w:val="0"/>
              <w:autoSpaceDE/>
              <w:autoSpaceDN/>
              <w:bidi w:val="0"/>
              <w:adjustRightInd/>
              <w:snapToGrid/>
              <w:spacing w:line="400" w:lineRule="atLeas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考核总分</w:t>
            </w:r>
          </w:p>
        </w:tc>
        <w:tc>
          <w:tcPr>
            <w:tcW w:w="1248" w:type="dxa"/>
            <w:tcMar>
              <w:top w:w="0" w:type="dxa"/>
              <w:left w:w="105" w:type="dxa"/>
              <w:bottom w:w="0" w:type="dxa"/>
              <w:right w:w="105" w:type="dxa"/>
            </w:tcMar>
            <w:vAlign w:val="center"/>
          </w:tcPr>
          <w:p w14:paraId="7F6AF025">
            <w:pPr>
              <w:pStyle w:val="500"/>
              <w:keepNext w:val="0"/>
              <w:keepLines w:val="0"/>
              <w:pageBreakBefore w:val="0"/>
              <w:kinsoku/>
              <w:wordWrap/>
              <w:overflowPunct/>
              <w:topLinePunct w:val="0"/>
              <w:autoSpaceDE/>
              <w:autoSpaceDN/>
              <w:bidi w:val="0"/>
              <w:adjustRightInd/>
              <w:snapToGrid/>
              <w:spacing w:line="400" w:lineRule="atLeast"/>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100分</w:t>
            </w:r>
          </w:p>
        </w:tc>
        <w:tc>
          <w:tcPr>
            <w:tcW w:w="1384" w:type="dxa"/>
            <w:tcMar>
              <w:top w:w="0" w:type="dxa"/>
              <w:left w:w="105" w:type="dxa"/>
              <w:bottom w:w="0" w:type="dxa"/>
              <w:right w:w="105" w:type="dxa"/>
            </w:tcMar>
            <w:vAlign w:val="top"/>
          </w:tcPr>
          <w:p w14:paraId="3362D118">
            <w:pPr>
              <w:pStyle w:val="500"/>
              <w:keepNext w:val="0"/>
              <w:keepLines w:val="0"/>
              <w:pageBreakBefore w:val="0"/>
              <w:kinsoku/>
              <w:wordWrap/>
              <w:overflowPunct/>
              <w:topLinePunct w:val="0"/>
              <w:autoSpaceDE/>
              <w:autoSpaceDN/>
              <w:bidi w:val="0"/>
              <w:adjustRightInd/>
              <w:snapToGrid/>
              <w:spacing w:line="400" w:lineRule="atLeast"/>
              <w:jc w:val="both"/>
              <w:textAlignment w:val="auto"/>
              <w:rPr>
                <w:rFonts w:hint="eastAsia" w:ascii="宋体" w:hAnsi="宋体" w:eastAsia="宋体" w:cs="宋体"/>
                <w:sz w:val="24"/>
                <w:szCs w:val="24"/>
                <w:highlight w:val="none"/>
              </w:rPr>
            </w:pPr>
          </w:p>
        </w:tc>
        <w:tc>
          <w:tcPr>
            <w:tcW w:w="727" w:type="dxa"/>
            <w:tcMar>
              <w:top w:w="0" w:type="dxa"/>
              <w:left w:w="105" w:type="dxa"/>
              <w:bottom w:w="0" w:type="dxa"/>
              <w:right w:w="105" w:type="dxa"/>
            </w:tcMar>
            <w:vAlign w:val="top"/>
          </w:tcPr>
          <w:p w14:paraId="2D10CA51">
            <w:pPr>
              <w:keepNext w:val="0"/>
              <w:keepLines w:val="0"/>
              <w:pageBreakBefore w:val="0"/>
              <w:kinsoku/>
              <w:wordWrap/>
              <w:overflowPunct/>
              <w:topLinePunct w:val="0"/>
              <w:autoSpaceDE/>
              <w:autoSpaceDN/>
              <w:bidi w:val="0"/>
              <w:adjustRightInd/>
              <w:snapToGrid/>
              <w:spacing w:line="400" w:lineRule="atLeast"/>
              <w:textAlignment w:val="auto"/>
              <w:rPr>
                <w:rFonts w:hint="eastAsia" w:ascii="宋体" w:hAnsi="宋体" w:eastAsia="宋体" w:cs="宋体"/>
                <w:sz w:val="24"/>
                <w:szCs w:val="24"/>
                <w:highlight w:val="none"/>
              </w:rPr>
            </w:pPr>
          </w:p>
        </w:tc>
      </w:tr>
      <w:tr w14:paraId="129F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0" w:type="dxa"/>
            <w:gridSpan w:val="5"/>
            <w:tcMar>
              <w:top w:w="0" w:type="dxa"/>
              <w:left w:w="105" w:type="dxa"/>
              <w:bottom w:w="0" w:type="dxa"/>
              <w:right w:w="105" w:type="dxa"/>
            </w:tcMar>
            <w:vAlign w:val="top"/>
          </w:tcPr>
          <w:p w14:paraId="76FE2E3D">
            <w:pPr>
              <w:pStyle w:val="500"/>
              <w:keepNext w:val="0"/>
              <w:keepLines w:val="0"/>
              <w:pageBreakBefore w:val="0"/>
              <w:numPr>
                <w:ilvl w:val="0"/>
                <w:numId w:val="17"/>
              </w:numPr>
              <w:kinsoku/>
              <w:wordWrap/>
              <w:overflowPunct/>
              <w:topLinePunct w:val="0"/>
              <w:autoSpaceDE/>
              <w:autoSpaceDN/>
              <w:bidi w:val="0"/>
              <w:adjustRightInd/>
              <w:snapToGrid/>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月考核分为</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lang w:eastAsia="zh-CN"/>
              </w:rPr>
              <w:t xml:space="preserve">分（含）以上的支付全额月度服务费；考核分为 </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lang w:eastAsia="zh-CN"/>
              </w:rPr>
              <w:t>分（含）至</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lang w:eastAsia="zh-CN"/>
              </w:rPr>
              <w:t>分（不含）的，支付9</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%月度服务费；考核分为</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lang w:eastAsia="zh-CN"/>
              </w:rPr>
              <w:t>分（含）至</w:t>
            </w:r>
            <w:r>
              <w:rPr>
                <w:rFonts w:hint="eastAsia" w:ascii="宋体" w:hAnsi="宋体" w:eastAsia="宋体" w:cs="宋体"/>
                <w:sz w:val="24"/>
                <w:szCs w:val="24"/>
                <w:highlight w:val="none"/>
                <w:lang w:val="en-US" w:eastAsia="zh-CN"/>
              </w:rPr>
              <w:t>80</w:t>
            </w:r>
            <w:r>
              <w:rPr>
                <w:rFonts w:hint="eastAsia" w:ascii="宋体" w:hAnsi="宋体" w:eastAsia="宋体" w:cs="宋体"/>
                <w:sz w:val="24"/>
                <w:szCs w:val="24"/>
                <w:highlight w:val="none"/>
                <w:lang w:eastAsia="zh-CN"/>
              </w:rPr>
              <w:t>分（不含）的，支付</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lang w:eastAsia="zh-CN"/>
              </w:rPr>
              <w:t>%月度服务费；考核分为60分（含）至</w:t>
            </w:r>
            <w:r>
              <w:rPr>
                <w:rFonts w:hint="eastAsia" w:ascii="宋体" w:hAnsi="宋体" w:eastAsia="宋体" w:cs="宋体"/>
                <w:sz w:val="24"/>
                <w:szCs w:val="24"/>
                <w:highlight w:val="none"/>
                <w:lang w:val="en-US" w:eastAsia="zh-CN"/>
              </w:rPr>
              <w:t>70</w:t>
            </w:r>
            <w:r>
              <w:rPr>
                <w:rFonts w:hint="eastAsia" w:ascii="宋体" w:hAnsi="宋体" w:eastAsia="宋体" w:cs="宋体"/>
                <w:sz w:val="24"/>
                <w:szCs w:val="24"/>
                <w:highlight w:val="none"/>
                <w:lang w:eastAsia="zh-CN"/>
              </w:rPr>
              <w:t>分（不含）的，则扣除当月服务费；月度考核分出现一次低于60分（不含），采购人有权终止合同）。</w:t>
            </w:r>
          </w:p>
          <w:p w14:paraId="0E6DC699">
            <w:pPr>
              <w:pStyle w:val="500"/>
              <w:keepNext w:val="0"/>
              <w:keepLines w:val="0"/>
              <w:pageBreakBefore w:val="0"/>
              <w:numPr>
                <w:ilvl w:val="0"/>
                <w:numId w:val="17"/>
              </w:numPr>
              <w:kinsoku/>
              <w:wordWrap/>
              <w:overflowPunct/>
              <w:topLinePunct w:val="0"/>
              <w:autoSpaceDE/>
              <w:autoSpaceDN/>
              <w:bidi w:val="0"/>
              <w:adjustRightInd/>
              <w:snapToGrid/>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年度月考核平均分在</w:t>
            </w:r>
            <w:r>
              <w:rPr>
                <w:rFonts w:hint="eastAsia" w:ascii="宋体" w:hAnsi="宋体" w:eastAsia="宋体" w:cs="宋体"/>
                <w:sz w:val="24"/>
                <w:szCs w:val="24"/>
                <w:highlight w:val="none"/>
                <w:lang w:val="en-US" w:eastAsia="zh-CN"/>
              </w:rPr>
              <w:t>80分及以上的</w:t>
            </w:r>
            <w:r>
              <w:rPr>
                <w:rFonts w:hint="eastAsia" w:ascii="宋体" w:hAnsi="宋体" w:eastAsia="宋体" w:cs="宋体"/>
                <w:sz w:val="24"/>
                <w:szCs w:val="24"/>
                <w:highlight w:val="none"/>
                <w:lang w:eastAsia="zh-CN"/>
              </w:rPr>
              <w:t>视为年度验收通过，可续签下一年度合同；月考核平均分在</w:t>
            </w:r>
            <w:r>
              <w:rPr>
                <w:rFonts w:hint="eastAsia" w:ascii="宋体" w:hAnsi="宋体" w:eastAsia="宋体" w:cs="宋体"/>
                <w:sz w:val="24"/>
                <w:szCs w:val="24"/>
                <w:highlight w:val="none"/>
                <w:lang w:val="en-US" w:eastAsia="zh-CN"/>
              </w:rPr>
              <w:t>80分以下的</w:t>
            </w:r>
            <w:r>
              <w:rPr>
                <w:rFonts w:hint="eastAsia" w:ascii="宋体" w:hAnsi="宋体" w:eastAsia="宋体" w:cs="宋体"/>
                <w:sz w:val="24"/>
                <w:szCs w:val="24"/>
                <w:highlight w:val="none"/>
                <w:lang w:eastAsia="zh-CN"/>
              </w:rPr>
              <w:t>评定为不通过，采购人有权终止合同。</w:t>
            </w:r>
          </w:p>
        </w:tc>
      </w:tr>
    </w:tbl>
    <w:p w14:paraId="0F95F88D">
      <w:pPr>
        <w:pStyle w:val="22"/>
      </w:pPr>
    </w:p>
    <w:p w14:paraId="5387D077">
      <w:pPr>
        <w:spacing w:line="65" w:lineRule="exact"/>
        <w:rPr>
          <w:rFonts w:ascii="宋体" w:hAnsi="宋体" w:cs="宋体"/>
          <w:color w:val="auto"/>
          <w:sz w:val="24"/>
          <w:szCs w:val="24"/>
          <w:highlight w:val="none"/>
        </w:rPr>
      </w:pPr>
    </w:p>
    <w:p w14:paraId="286C3DA4">
      <w:pPr>
        <w:widowControl/>
        <w:spacing w:line="460" w:lineRule="exact"/>
        <w:ind w:firstLine="482" w:firstLineChars="200"/>
        <w:rPr>
          <w:rFonts w:cs="宋体" w:asciiTheme="minorEastAsia" w:hAnsiTheme="minorEastAsia" w:eastAsiaTheme="minorEastAsia"/>
          <w:b/>
          <w:bCs/>
          <w:color w:val="auto"/>
          <w:sz w:val="24"/>
          <w:szCs w:val="24"/>
          <w:highlight w:val="none"/>
        </w:rPr>
      </w:pPr>
      <w:r>
        <w:rPr>
          <w:rFonts w:hint="eastAsia" w:cs="宋体" w:asciiTheme="minorEastAsia" w:hAnsiTheme="minorEastAsia" w:eastAsiaTheme="minorEastAsia"/>
          <w:b/>
          <w:bCs/>
          <w:color w:val="auto"/>
          <w:sz w:val="24"/>
          <w:szCs w:val="24"/>
          <w:highlight w:val="none"/>
        </w:rPr>
        <w:t>四、其他要求</w:t>
      </w:r>
    </w:p>
    <w:p w14:paraId="26E5DDCC">
      <w:pPr>
        <w:spacing w:line="46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1、本项目不允许中标人以任何名义和理由进行转包，如有发现，视为中标人违约，如对采购人造成损失的，采购人有权要求中标人给予相应赔偿。</w:t>
      </w:r>
    </w:p>
    <w:p w14:paraId="30514589">
      <w:pPr>
        <w:widowControl/>
        <w:spacing w:line="460" w:lineRule="exact"/>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t>2、本招标文件未明确的其它约定事项或条款，待采购人与中标人签订合同时，由双方另行协商订立。</w:t>
      </w:r>
    </w:p>
    <w:p w14:paraId="0AB21DC2">
      <w:pPr>
        <w:widowControl/>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F997020">
      <w:pPr>
        <w:spacing w:line="360" w:lineRule="auto"/>
        <w:ind w:firstLine="420"/>
        <w:jc w:val="center"/>
        <w:outlineLvl w:val="0"/>
        <w:rPr>
          <w:rFonts w:cs="宋体" w:asciiTheme="minorEastAsia" w:hAnsiTheme="minorEastAsia" w:eastAsiaTheme="minorEastAsia"/>
          <w:b/>
          <w:color w:val="auto"/>
          <w:sz w:val="28"/>
          <w:szCs w:val="28"/>
          <w:highlight w:val="none"/>
        </w:rPr>
      </w:pPr>
      <w:bookmarkStart w:id="65" w:name="_Toc31233"/>
      <w:r>
        <w:rPr>
          <w:rFonts w:hint="eastAsia" w:cs="宋体" w:asciiTheme="minorEastAsia" w:hAnsiTheme="minorEastAsia" w:eastAsiaTheme="minorEastAsia"/>
          <w:b/>
          <w:color w:val="auto"/>
          <w:sz w:val="32"/>
          <w:szCs w:val="32"/>
          <w:highlight w:val="none"/>
        </w:rPr>
        <w:t>第四章  政府采购合同（参考文本）</w:t>
      </w:r>
      <w:bookmarkEnd w:id="63"/>
      <w:bookmarkEnd w:id="64"/>
      <w:bookmarkEnd w:id="65"/>
    </w:p>
    <w:p w14:paraId="171A9656">
      <w:pPr>
        <w:widowControl/>
        <w:jc w:val="center"/>
        <w:rPr>
          <w:rFonts w:asciiTheme="minorEastAsia" w:hAnsiTheme="minorEastAsia" w:eastAsiaTheme="minorEastAsia"/>
          <w:color w:val="auto"/>
          <w:kern w:val="0"/>
          <w:sz w:val="16"/>
          <w:highlight w:val="none"/>
        </w:rPr>
      </w:pPr>
      <w:r>
        <w:rPr>
          <w:rFonts w:asciiTheme="minorEastAsia" w:hAnsiTheme="minorEastAsia" w:eastAsiaTheme="minorEastAsia"/>
          <w:b/>
          <w:color w:val="auto"/>
          <w:kern w:val="0"/>
          <w:sz w:val="28"/>
          <w:highlight w:val="none"/>
        </w:rPr>
        <w:t>福建省政府采购合同（服务类）</w:t>
      </w:r>
    </w:p>
    <w:p w14:paraId="6F86D47B">
      <w:pPr>
        <w:widowControl/>
        <w:jc w:val="center"/>
        <w:rPr>
          <w:rFonts w:asciiTheme="minorEastAsia" w:hAnsiTheme="minorEastAsia" w:eastAsiaTheme="minorEastAsia"/>
          <w:color w:val="auto"/>
          <w:kern w:val="0"/>
          <w:sz w:val="20"/>
          <w:highlight w:val="none"/>
        </w:rPr>
      </w:pPr>
      <w:r>
        <w:rPr>
          <w:rFonts w:asciiTheme="minorEastAsia" w:hAnsiTheme="minorEastAsia" w:eastAsiaTheme="minorEastAsia"/>
          <w:b/>
          <w:color w:val="auto"/>
          <w:kern w:val="0"/>
          <w:sz w:val="24"/>
          <w:highlight w:val="none"/>
        </w:rPr>
        <w:t>编制说明</w:t>
      </w:r>
    </w:p>
    <w:p w14:paraId="4C78F305">
      <w:pPr>
        <w:widowControl/>
        <w:jc w:val="center"/>
        <w:rPr>
          <w:rFonts w:asciiTheme="minorEastAsia" w:hAnsiTheme="minorEastAsia" w:eastAsiaTheme="minorEastAsia"/>
          <w:color w:val="auto"/>
          <w:kern w:val="0"/>
          <w:sz w:val="20"/>
          <w:highlight w:val="none"/>
        </w:rPr>
      </w:pPr>
    </w:p>
    <w:p w14:paraId="4B2C6542">
      <w:pPr>
        <w:widowControl/>
        <w:jc w:val="left"/>
        <w:rPr>
          <w:rFonts w:asciiTheme="minorEastAsia" w:hAnsiTheme="minorEastAsia" w:eastAsiaTheme="minorEastAsia"/>
          <w:color w:val="auto"/>
          <w:kern w:val="0"/>
          <w:sz w:val="20"/>
          <w:highlight w:val="none"/>
        </w:rPr>
      </w:pPr>
      <w:r>
        <w:rPr>
          <w:rFonts w:asciiTheme="minorEastAsia" w:hAnsiTheme="minorEastAsia" w:eastAsiaTheme="minorEastAsia"/>
          <w:b/>
          <w:color w:val="auto"/>
          <w:kern w:val="0"/>
          <w:sz w:val="24"/>
          <w:highlight w:val="none"/>
        </w:rPr>
        <w:t>1.签订合同应遵守《中华人民共和国政府采购法》及其实施条例、《中华人民共和国民法典》等法律法规及其他有关规定。</w:t>
      </w:r>
    </w:p>
    <w:p w14:paraId="09FF99B9">
      <w:pPr>
        <w:widowControl/>
        <w:jc w:val="left"/>
        <w:rPr>
          <w:rFonts w:asciiTheme="minorEastAsia" w:hAnsiTheme="minorEastAsia" w:eastAsiaTheme="minorEastAsia"/>
          <w:color w:val="auto"/>
          <w:kern w:val="0"/>
          <w:sz w:val="20"/>
          <w:highlight w:val="none"/>
        </w:rPr>
      </w:pPr>
      <w:r>
        <w:rPr>
          <w:rFonts w:asciiTheme="minorEastAsia" w:hAnsiTheme="minorEastAsia" w:eastAsiaTheme="minorEastAsia"/>
          <w:b/>
          <w:color w:val="auto"/>
          <w:kern w:val="0"/>
          <w:sz w:val="24"/>
          <w:highlight w:val="none"/>
        </w:rPr>
        <w:t>2.签订合同时，采购人与中标(成交)人应结合采购文件规定填列相应内容。采购文件已有约定的，双方均不得对约定进行变更或调整；采购文件未作规定的，双方可通过友好协商进行约定。</w:t>
      </w:r>
    </w:p>
    <w:p w14:paraId="02E39107">
      <w:pPr>
        <w:widowControl/>
        <w:jc w:val="left"/>
        <w:rPr>
          <w:rFonts w:asciiTheme="minorEastAsia" w:hAnsiTheme="minorEastAsia" w:eastAsiaTheme="minorEastAsia"/>
          <w:color w:val="auto"/>
          <w:kern w:val="0"/>
          <w:sz w:val="20"/>
          <w:highlight w:val="none"/>
        </w:rPr>
      </w:pPr>
      <w:r>
        <w:rPr>
          <w:rFonts w:asciiTheme="minorEastAsia" w:hAnsiTheme="minorEastAsia" w:eastAsiaTheme="minorEastAsia"/>
          <w:b/>
          <w:color w:val="auto"/>
          <w:kern w:val="0"/>
          <w:sz w:val="24"/>
          <w:highlight w:val="none"/>
        </w:rPr>
        <w:t>3.政府有关主管部门对若干合同有规范文本的，可使用相应合同文本。</w:t>
      </w:r>
    </w:p>
    <w:p w14:paraId="79541DD3">
      <w:pPr>
        <w:widowControl/>
        <w:jc w:val="left"/>
        <w:rPr>
          <w:rFonts w:asciiTheme="minorEastAsia" w:hAnsiTheme="minorEastAsia" w:eastAsiaTheme="minorEastAsia"/>
          <w:color w:val="auto"/>
          <w:kern w:val="0"/>
          <w:sz w:val="20"/>
          <w:highlight w:val="none"/>
        </w:rPr>
      </w:pPr>
      <w:r>
        <w:rPr>
          <w:rFonts w:asciiTheme="minorEastAsia" w:hAnsiTheme="minorEastAsia" w:eastAsiaTheme="minorEastAsia"/>
          <w:b/>
          <w:color w:val="auto"/>
          <w:kern w:val="0"/>
          <w:sz w:val="24"/>
          <w:highlight w:val="none"/>
        </w:rPr>
        <w:t>4.本合同范本仅供参考，采购人应当根据采购项目的实际需求对合同条款进行修改、补充。</w:t>
      </w:r>
    </w:p>
    <w:p w14:paraId="6D031D4F">
      <w:pPr>
        <w:widowControl/>
        <w:jc w:val="left"/>
        <w:rPr>
          <w:rFonts w:asciiTheme="minorEastAsia" w:hAnsiTheme="minorEastAsia" w:eastAsiaTheme="minorEastAsia"/>
          <w:color w:val="auto"/>
          <w:kern w:val="0"/>
          <w:sz w:val="20"/>
          <w:highlight w:val="none"/>
        </w:rPr>
      </w:pPr>
    </w:p>
    <w:p w14:paraId="42AFA35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甲方：</w:t>
      </w:r>
    </w:p>
    <w:p w14:paraId="10059778">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住所地：________________</w:t>
      </w:r>
    </w:p>
    <w:p w14:paraId="75DA00B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联系人：________________</w:t>
      </w:r>
    </w:p>
    <w:p w14:paraId="419C3EB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联系电话：______________</w:t>
      </w:r>
    </w:p>
    <w:p w14:paraId="3B78EE8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传真：________________</w:t>
      </w:r>
    </w:p>
    <w:p w14:paraId="681566F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电子邮箱：________________</w:t>
      </w:r>
    </w:p>
    <w:p w14:paraId="1DE6CF88">
      <w:pPr>
        <w:widowControl/>
        <w:spacing w:line="360" w:lineRule="exact"/>
        <w:jc w:val="left"/>
        <w:rPr>
          <w:rFonts w:asciiTheme="minorEastAsia" w:hAnsiTheme="minorEastAsia" w:eastAsiaTheme="minorEastAsia"/>
          <w:color w:val="auto"/>
          <w:kern w:val="0"/>
          <w:sz w:val="24"/>
          <w:szCs w:val="24"/>
          <w:highlight w:val="none"/>
        </w:rPr>
      </w:pPr>
    </w:p>
    <w:p w14:paraId="0FCA63B9">
      <w:pPr>
        <w:widowControl/>
        <w:spacing w:line="360" w:lineRule="exact"/>
        <w:jc w:val="left"/>
        <w:rPr>
          <w:rFonts w:asciiTheme="minorEastAsia" w:hAnsiTheme="minorEastAsia" w:eastAsiaTheme="minorEastAsia"/>
          <w:color w:val="auto"/>
          <w:kern w:val="0"/>
          <w:sz w:val="24"/>
          <w:szCs w:val="24"/>
          <w:highlight w:val="none"/>
        </w:rPr>
      </w:pPr>
    </w:p>
    <w:p w14:paraId="115A12A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乙方：________________</w:t>
      </w:r>
    </w:p>
    <w:p w14:paraId="65954BC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住所地：________________</w:t>
      </w:r>
    </w:p>
    <w:p w14:paraId="45250D3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联系人：______________</w:t>
      </w:r>
    </w:p>
    <w:p w14:paraId="449E619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联系电话：______________</w:t>
      </w:r>
    </w:p>
    <w:p w14:paraId="641A7C5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传真：________________</w:t>
      </w:r>
    </w:p>
    <w:p w14:paraId="4CE4B2E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电子邮箱：________________</w:t>
      </w:r>
    </w:p>
    <w:p w14:paraId="1588B3E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根据招标编号为___________的__________项目（以下简称：“本项目”）的采购结果，遵循平等、自愿、公平和诚实信用的原则，双方签署本合同，具体内容如下：</w:t>
      </w:r>
    </w:p>
    <w:p w14:paraId="380210B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一、合同组成部分</w:t>
      </w:r>
    </w:p>
    <w:p w14:paraId="0BB7C74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1.1本合同条款及附件；</w:t>
      </w:r>
    </w:p>
    <w:p w14:paraId="2E8E8DD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1.2采购文件及其附件、补充文件；</w:t>
      </w:r>
    </w:p>
    <w:p w14:paraId="550B0BE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1.3乙方的响应文件及其附件、补充文件；</w:t>
      </w:r>
    </w:p>
    <w:p w14:paraId="52FD3456">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1.4其他文件或材料：</w:t>
      </w:r>
    </w:p>
    <w:p w14:paraId="493D07FC">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二、合同标的</w:t>
      </w:r>
    </w:p>
    <w:p w14:paraId="5F01B2BF">
      <w:pPr>
        <w:widowControl/>
        <w:spacing w:line="360" w:lineRule="exact"/>
        <w:jc w:val="left"/>
        <w:rPr>
          <w:rFonts w:asciiTheme="minorEastAsia" w:hAnsiTheme="minorEastAsia" w:eastAsiaTheme="minorEastAsia"/>
          <w:color w:val="auto"/>
          <w:kern w:val="0"/>
          <w:sz w:val="24"/>
          <w:szCs w:val="24"/>
          <w:highlight w:val="none"/>
        </w:rPr>
      </w:pPr>
    </w:p>
    <w:p w14:paraId="7CC7BC2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三、价格形式及合同价款</w:t>
      </w:r>
    </w:p>
    <w:p w14:paraId="34D21F4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3.1价格形式</w:t>
      </w:r>
    </w:p>
    <w:p w14:paraId="7194521A">
      <w:pPr>
        <w:widowControl/>
        <w:spacing w:line="360" w:lineRule="exact"/>
        <w:jc w:val="left"/>
        <w:rPr>
          <w:rFonts w:asciiTheme="minorEastAsia" w:hAnsiTheme="minorEastAsia" w:eastAsiaTheme="minorEastAsia"/>
          <w:color w:val="auto"/>
          <w:kern w:val="0"/>
          <w:sz w:val="24"/>
          <w:szCs w:val="24"/>
          <w:highlight w:val="none"/>
        </w:rPr>
      </w:pPr>
    </w:p>
    <w:p w14:paraId="7F82ACE5">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固定单价合同。完成约定服务事项的含税合同单价为：人民币（大写）元（￥_____________元）。</w:t>
      </w:r>
    </w:p>
    <w:p w14:paraId="127DA1E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固定总价合同。完成约定服务事项的含税服务费用为：人民币（大写）元（￥_____________元）。</w:t>
      </w:r>
    </w:p>
    <w:p w14:paraId="3B2C7E3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其他方式。</w:t>
      </w:r>
    </w:p>
    <w:p w14:paraId="045C759B">
      <w:pPr>
        <w:widowControl/>
        <w:spacing w:line="360" w:lineRule="exact"/>
        <w:jc w:val="left"/>
        <w:rPr>
          <w:rFonts w:asciiTheme="minorEastAsia" w:hAnsiTheme="minorEastAsia" w:eastAsiaTheme="minorEastAsia"/>
          <w:color w:val="auto"/>
          <w:kern w:val="0"/>
          <w:sz w:val="24"/>
          <w:szCs w:val="24"/>
          <w:highlight w:val="none"/>
        </w:rPr>
      </w:pPr>
    </w:p>
    <w:p w14:paraId="3BD79FD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3.2合同价款包含范围</w:t>
      </w:r>
    </w:p>
    <w:p w14:paraId="7F21FA5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3.3其他需说明的事项：</w:t>
      </w:r>
    </w:p>
    <w:p w14:paraId="37854BF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四、合同标的及服务范围、地点和时间</w:t>
      </w:r>
    </w:p>
    <w:p w14:paraId="225EFB2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4.1项目名称：_____________</w:t>
      </w:r>
    </w:p>
    <w:p w14:paraId="668A3B4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4.2服务范围：_____________</w:t>
      </w:r>
    </w:p>
    <w:p w14:paraId="623061F6">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4.3服务地点：_____________</w:t>
      </w:r>
    </w:p>
    <w:p w14:paraId="029873C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4.4服务完成时间：_____________</w:t>
      </w:r>
    </w:p>
    <w:p w14:paraId="70ACAAE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五、服务内容、质量标准和要求</w:t>
      </w:r>
    </w:p>
    <w:p w14:paraId="2CDE2EF6">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5.1服务工作量的计量方式：_____________</w:t>
      </w:r>
    </w:p>
    <w:p w14:paraId="78B68C7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5.2服务内容：_____________</w:t>
      </w:r>
    </w:p>
    <w:p w14:paraId="4F372AC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5.3技术保障、服务人员组成、所涉及的货物的质量标准：</w:t>
      </w:r>
    </w:p>
    <w:p w14:paraId="624365F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（1）服务技术保障：_____________</w:t>
      </w:r>
    </w:p>
    <w:p w14:paraId="20BFB4F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（2）服务人员组成：_____________</w:t>
      </w:r>
    </w:p>
    <w:p w14:paraId="4E317C98">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（3）服务设备及物资投入及质量标准：_____________</w:t>
      </w:r>
    </w:p>
    <w:p w14:paraId="090DDFD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5.4服务质量标准及要求：</w:t>
      </w:r>
    </w:p>
    <w:p w14:paraId="4B39867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F051E9A">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F669A9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5.4.3其他要求：</w:t>
      </w:r>
    </w:p>
    <w:p w14:paraId="1BB4CF2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六、服务履约验收或考核</w:t>
      </w:r>
    </w:p>
    <w:p w14:paraId="40F853F5">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甲方按照采购文件、乙方的投标或响应文件和本协议约定的服务内容及质量要求按次组织对乙方所提供服务进行验收，或定期进行服务考核，并根据验收或考核结果支付服务费用。具体如下：</w:t>
      </w:r>
    </w:p>
    <w:p w14:paraId="01C21B16">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七、甲方的权利与义务</w:t>
      </w:r>
    </w:p>
    <w:p w14:paraId="6620E7AC">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7.1甲方委派___________为联系人，联系方式___________，负责与乙方联系。如甲方联系人发生变更，甲方应书面告知乙方。</w:t>
      </w:r>
    </w:p>
    <w:p w14:paraId="27C8C67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7.2甲方应为乙方开展服务工作提供必要的工作条件，以及对内对外沟通和配合协助。</w:t>
      </w:r>
    </w:p>
    <w:p w14:paraId="738555E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7.3甲方应于___________之前提供服务所需的全部资料，并对所提供材料真实性、完整性、合法性负责。</w:t>
      </w:r>
    </w:p>
    <w:p w14:paraId="5589266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06468E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7.5甲方应按本合同约定及时足额支付服务费用及相关费用。</w:t>
      </w:r>
    </w:p>
    <w:p w14:paraId="4C0A2E08">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7.6其他</w:t>
      </w:r>
    </w:p>
    <w:p w14:paraId="282BBA4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八、乙方的权利与义务</w:t>
      </w:r>
    </w:p>
    <w:p w14:paraId="2FD8BB0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8.1乙方委派___________为联系人，联系方式___________，负责与甲方联系。如乙方联系人发生变更，乙方应书面告知甲方</w:t>
      </w:r>
    </w:p>
    <w:p w14:paraId="05FD507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8.2乙方应国家法律法规和{{乙方的权利与义务-响应要求-福建}}等要求开展{{乙方的权利与义务-开展服务-福建}}服务；</w:t>
      </w:r>
    </w:p>
    <w:p w14:paraId="122D9E2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8.3乙方及其所委派服务人员应按标准或协议约定方式出具服务成果，对并其真实性和合法性负法律责任；</w:t>
      </w:r>
    </w:p>
    <w:p w14:paraId="39E481E8">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5B8FDE6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8.5乙方对服务业务应当单独建档，保存完整的工作记录，并对服务过程使用和暂存甲方的文件、材料和财物应当妥善保管。</w:t>
      </w:r>
    </w:p>
    <w:p w14:paraId="7CEA3CA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8.6服务工作结束后,乙方将根据情况对甲方服务相关的管理制度及其他事项等提出改进意见。</w:t>
      </w:r>
    </w:p>
    <w:p w14:paraId="7A9E46C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8.7其他</w:t>
      </w:r>
    </w:p>
    <w:p w14:paraId="4158F5C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九、资金支付方式、时间和条件</w:t>
      </w:r>
    </w:p>
    <w:p w14:paraId="1E7E9C79">
      <w:pPr>
        <w:widowControl/>
        <w:spacing w:line="360" w:lineRule="exact"/>
        <w:jc w:val="left"/>
        <w:rPr>
          <w:rFonts w:asciiTheme="minorEastAsia" w:hAnsiTheme="minorEastAsia" w:eastAsiaTheme="minorEastAsia"/>
          <w:color w:val="auto"/>
          <w:kern w:val="0"/>
          <w:sz w:val="24"/>
          <w:szCs w:val="24"/>
          <w:highlight w:val="none"/>
        </w:rPr>
      </w:pPr>
    </w:p>
    <w:p w14:paraId="59A2012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十、履约保证金</w:t>
      </w:r>
    </w:p>
    <w:p w14:paraId="11073F16">
      <w:pPr>
        <w:widowControl/>
        <w:spacing w:line="360" w:lineRule="exact"/>
        <w:jc w:val="left"/>
        <w:rPr>
          <w:rFonts w:asciiTheme="minorEastAsia" w:hAnsiTheme="minorEastAsia" w:eastAsiaTheme="minorEastAsia"/>
          <w:color w:val="auto"/>
          <w:kern w:val="0"/>
          <w:sz w:val="24"/>
          <w:szCs w:val="24"/>
          <w:highlight w:val="none"/>
        </w:rPr>
      </w:pPr>
      <w:r>
        <w:rPr>
          <w:rFonts w:hint="eastAsia" w:cs="Arial" w:asciiTheme="minorEastAsia" w:hAnsiTheme="minorEastAsia" w:eastAsiaTheme="minorEastAsia"/>
          <w:color w:val="auto"/>
          <w:kern w:val="0"/>
          <w:sz w:val="24"/>
          <w:szCs w:val="24"/>
          <w:highlight w:val="none"/>
          <w:lang w:eastAsia="zh-CN"/>
        </w:rPr>
        <w:t>☑</w:t>
      </w:r>
      <w:r>
        <w:rPr>
          <w:rFonts w:asciiTheme="minorEastAsia" w:hAnsiTheme="minorEastAsia" w:eastAsiaTheme="minorEastAsia"/>
          <w:color w:val="auto"/>
          <w:kern w:val="0"/>
          <w:sz w:val="24"/>
          <w:szCs w:val="24"/>
          <w:highlight w:val="none"/>
        </w:rPr>
        <w:t>有，</w:t>
      </w:r>
      <w:r>
        <w:rPr>
          <w:rFonts w:cs="Arial" w:asciiTheme="minorEastAsia" w:hAnsiTheme="minorEastAsia" w:eastAsiaTheme="minorEastAsia"/>
          <w:color w:val="auto"/>
          <w:kern w:val="0"/>
          <w:sz w:val="24"/>
          <w:szCs w:val="24"/>
          <w:highlight w:val="none"/>
        </w:rPr>
        <w:sym w:font="Wingdings 2" w:char="00A3"/>
      </w:r>
      <w:r>
        <w:rPr>
          <w:rFonts w:asciiTheme="minorEastAsia" w:hAnsiTheme="minorEastAsia" w:eastAsiaTheme="minorEastAsia"/>
          <w:color w:val="auto"/>
          <w:kern w:val="0"/>
          <w:sz w:val="24"/>
          <w:szCs w:val="24"/>
          <w:highlight w:val="none"/>
        </w:rPr>
        <w:t>无。具体如下：（按照采购文件规定填写）。</w:t>
      </w:r>
    </w:p>
    <w:p w14:paraId="6E171FB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10.1乙方向甲方缴纳人民币 / 元作为本合同的履约保证金。</w:t>
      </w:r>
    </w:p>
    <w:p w14:paraId="2C73880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10.2履约保证金缴纳形式：支票/汇票/电汇/保函等非现金形式。</w:t>
      </w:r>
    </w:p>
    <w:p w14:paraId="2966FB7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10.3履约保证金合同履行完毕前有效，合同履行完毕后一次性结清退还。</w:t>
      </w:r>
    </w:p>
    <w:p w14:paraId="28D6163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十一、合同期限</w:t>
      </w:r>
    </w:p>
    <w:p w14:paraId="04C37F47">
      <w:pPr>
        <w:widowControl/>
        <w:spacing w:line="360" w:lineRule="exact"/>
        <w:jc w:val="left"/>
        <w:rPr>
          <w:rFonts w:asciiTheme="minorEastAsia" w:hAnsiTheme="minorEastAsia" w:eastAsiaTheme="minorEastAsia"/>
          <w:color w:val="auto"/>
          <w:kern w:val="0"/>
          <w:sz w:val="24"/>
          <w:szCs w:val="24"/>
          <w:highlight w:val="none"/>
        </w:rPr>
      </w:pPr>
    </w:p>
    <w:p w14:paraId="2AC4241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十二、保密条款</w:t>
      </w:r>
    </w:p>
    <w:p w14:paraId="547A511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12.1对于在采购和合同履行过程中所获悉的属于保密的内容，甲、乙双方均负有保密义务。</w:t>
      </w:r>
    </w:p>
    <w:p w14:paraId="2D1ED718">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12.2其他</w:t>
      </w:r>
    </w:p>
    <w:p w14:paraId="2303FA6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十三、违约责任</w:t>
      </w:r>
    </w:p>
    <w:p w14:paraId="4BB462B7">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13.1甲方违约责任</w:t>
      </w:r>
    </w:p>
    <w:p w14:paraId="230ED84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（1）甲方无正当理由拒绝乙方提供合格服务的，甲方应向乙方偿付所拒收合同总价________的违约金</w:t>
      </w:r>
    </w:p>
    <w:p w14:paraId="1B7405EA">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（2）甲方无故逾期验收和办理合同款项支付手续的,甲方应按逾期付款总额每日________向乙方支付违约金。</w:t>
      </w:r>
    </w:p>
    <w:p w14:paraId="50D911F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（3）其他违约情形</w:t>
      </w:r>
    </w:p>
    <w:p w14:paraId="25ECDFC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13.2乙方违约责任</w:t>
      </w:r>
    </w:p>
    <w:p w14:paraId="17662DD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704728CC">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53BA2675">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（3）乙方不按合同约定履约的，甲方可以解除采购合同，并对乙方已缴纳的履约保证金作“不予退还”处理。同时，乙方须按以下约定向甲方支付违约金：</w:t>
      </w:r>
    </w:p>
    <w:p w14:paraId="5C5AE58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（4）其他违约情形</w:t>
      </w:r>
    </w:p>
    <w:p w14:paraId="28CDF3C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十四、不可抗力事件处理</w:t>
      </w:r>
    </w:p>
    <w:p w14:paraId="373F694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AB58F96">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十五、解决争议的方法</w:t>
      </w:r>
    </w:p>
    <w:p w14:paraId="7322F12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12.1甲、乙双方协商解决。</w:t>
      </w:r>
    </w:p>
    <w:p w14:paraId="3F234F2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12.2若协商解决不成，则通过下列途径之一解决：</w:t>
      </w:r>
    </w:p>
    <w:p w14:paraId="7E54F511">
      <w:pPr>
        <w:widowControl/>
        <w:spacing w:line="360" w:lineRule="exact"/>
        <w:jc w:val="left"/>
        <w:rPr>
          <w:rFonts w:asciiTheme="minorEastAsia" w:hAnsiTheme="minorEastAsia" w:eastAsiaTheme="minorEastAsia"/>
          <w:color w:val="auto"/>
          <w:kern w:val="0"/>
          <w:sz w:val="24"/>
          <w:szCs w:val="24"/>
          <w:highlight w:val="none"/>
        </w:rPr>
      </w:pPr>
    </w:p>
    <w:p w14:paraId="55A17050">
      <w:pPr>
        <w:widowControl/>
        <w:spacing w:line="360" w:lineRule="exact"/>
        <w:jc w:val="left"/>
        <w:rPr>
          <w:rFonts w:asciiTheme="minorEastAsia" w:hAnsiTheme="minorEastAsia" w:eastAsiaTheme="minorEastAsia"/>
          <w:color w:val="auto"/>
          <w:kern w:val="0"/>
          <w:sz w:val="24"/>
          <w:szCs w:val="24"/>
          <w:highlight w:val="none"/>
        </w:rPr>
      </w:pPr>
      <w:r>
        <w:rPr>
          <w:rFonts w:cs="Arial"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提交仲裁委员会仲裁，具体如下：</w:t>
      </w:r>
    </w:p>
    <w:p w14:paraId="3E483A21">
      <w:pPr>
        <w:widowControl/>
        <w:spacing w:line="360" w:lineRule="exact"/>
        <w:jc w:val="left"/>
        <w:rPr>
          <w:rFonts w:asciiTheme="minorEastAsia" w:hAnsiTheme="minorEastAsia" w:eastAsiaTheme="minorEastAsia"/>
          <w:color w:val="auto"/>
          <w:kern w:val="0"/>
          <w:sz w:val="24"/>
          <w:szCs w:val="24"/>
          <w:highlight w:val="none"/>
        </w:rPr>
      </w:pPr>
      <w:r>
        <w:rPr>
          <w:rFonts w:cs="Arial" w:asciiTheme="minorEastAsia" w:hAnsiTheme="minorEastAsia" w:eastAsiaTheme="minorEastAsia"/>
          <w:color w:val="auto"/>
          <w:kern w:val="0"/>
          <w:sz w:val="24"/>
          <w:szCs w:val="24"/>
          <w:highlight w:val="none"/>
        </w:rPr>
        <w:t>□</w:t>
      </w:r>
      <w:r>
        <w:rPr>
          <w:rFonts w:asciiTheme="minorEastAsia" w:hAnsiTheme="minorEastAsia" w:eastAsiaTheme="minorEastAsia"/>
          <w:color w:val="auto"/>
          <w:kern w:val="0"/>
          <w:sz w:val="24"/>
          <w:szCs w:val="24"/>
          <w:highlight w:val="none"/>
        </w:rPr>
        <w:t>向人民法院提起诉讼，具体如下：</w:t>
      </w:r>
    </w:p>
    <w:p w14:paraId="2176151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十六、合同其他条款</w:t>
      </w:r>
    </w:p>
    <w:p w14:paraId="719E8881">
      <w:pPr>
        <w:widowControl/>
        <w:spacing w:line="360" w:lineRule="exact"/>
        <w:jc w:val="left"/>
        <w:rPr>
          <w:rFonts w:asciiTheme="minorEastAsia" w:hAnsiTheme="minorEastAsia" w:eastAsiaTheme="minorEastAsia"/>
          <w:color w:val="auto"/>
          <w:kern w:val="0"/>
          <w:sz w:val="24"/>
          <w:szCs w:val="24"/>
          <w:highlight w:val="none"/>
        </w:rPr>
      </w:pPr>
    </w:p>
    <w:p w14:paraId="1FD6DF4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十七、其他约定</w:t>
      </w:r>
    </w:p>
    <w:p w14:paraId="32531A9B">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17.1合同文件与本合同具有同等法律效力。</w:t>
      </w:r>
    </w:p>
    <w:p w14:paraId="02B2206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17.2合同生效：合同经双方单位负责人或委托代理人签字并加盖单位公章后生效。</w:t>
      </w:r>
    </w:p>
    <w:p w14:paraId="1F0D51AA">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17.3本合同未尽事宜，遵照《中华人民共和国民法典》有关条文执行。</w:t>
      </w:r>
    </w:p>
    <w:p w14:paraId="36A4B90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17.4本合同正本一式_______份，具有同等法律效力，甲方、乙方各执_______份；副本_______份，_______</w:t>
      </w:r>
    </w:p>
    <w:p w14:paraId="1A5CD28D">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17.5其他</w:t>
      </w:r>
    </w:p>
    <w:p w14:paraId="17CE8B99">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b/>
          <w:color w:val="auto"/>
          <w:kern w:val="0"/>
          <w:sz w:val="24"/>
          <w:szCs w:val="24"/>
          <w:highlight w:val="none"/>
        </w:rPr>
        <w:t>十八、合同附件</w:t>
      </w:r>
    </w:p>
    <w:p w14:paraId="154F48B1">
      <w:pPr>
        <w:widowControl/>
        <w:spacing w:line="360" w:lineRule="exact"/>
        <w:jc w:val="left"/>
        <w:rPr>
          <w:rFonts w:asciiTheme="minorEastAsia" w:hAnsiTheme="minorEastAsia" w:eastAsiaTheme="minorEastAsia"/>
          <w:color w:val="auto"/>
          <w:kern w:val="0"/>
          <w:sz w:val="24"/>
          <w:szCs w:val="24"/>
          <w:highlight w:val="none"/>
        </w:rPr>
      </w:pPr>
    </w:p>
    <w:p w14:paraId="04BF3690">
      <w:pPr>
        <w:widowControl/>
        <w:spacing w:line="360" w:lineRule="exact"/>
        <w:jc w:val="left"/>
        <w:rPr>
          <w:rFonts w:asciiTheme="minorEastAsia" w:hAnsiTheme="minorEastAsia" w:eastAsiaTheme="minorEastAsia"/>
          <w:color w:val="auto"/>
          <w:kern w:val="0"/>
          <w:sz w:val="24"/>
          <w:szCs w:val="24"/>
          <w:highlight w:val="none"/>
        </w:rPr>
      </w:pPr>
    </w:p>
    <w:p w14:paraId="7622B1F6">
      <w:pPr>
        <w:widowControl/>
        <w:spacing w:line="360" w:lineRule="exact"/>
        <w:jc w:val="left"/>
        <w:rPr>
          <w:rFonts w:asciiTheme="minorEastAsia" w:hAnsiTheme="minorEastAsia" w:eastAsiaTheme="minorEastAsia"/>
          <w:color w:val="auto"/>
          <w:kern w:val="0"/>
          <w:sz w:val="24"/>
          <w:szCs w:val="24"/>
          <w:highlight w:val="none"/>
        </w:rPr>
      </w:pPr>
    </w:p>
    <w:p w14:paraId="704CD752">
      <w:pPr>
        <w:widowControl/>
        <w:spacing w:line="360" w:lineRule="exact"/>
        <w:jc w:val="left"/>
        <w:rPr>
          <w:rFonts w:asciiTheme="minorEastAsia" w:hAnsiTheme="minorEastAsia" w:eastAsiaTheme="minorEastAsia"/>
          <w:color w:val="auto"/>
          <w:kern w:val="0"/>
          <w:sz w:val="24"/>
          <w:szCs w:val="24"/>
          <w:highlight w:val="none"/>
        </w:rPr>
      </w:pPr>
    </w:p>
    <w:p w14:paraId="1E22C99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甲方（采购人）：</w:t>
      </w:r>
    </w:p>
    <w:p w14:paraId="306EC90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法定（授权）代表人：</w:t>
      </w:r>
    </w:p>
    <w:p w14:paraId="4A0BBC40">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纳税人识别号：</w:t>
      </w:r>
    </w:p>
    <w:p w14:paraId="02638BA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开户银行：</w:t>
      </w:r>
    </w:p>
    <w:p w14:paraId="3DFD01C4">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账号：</w:t>
      </w:r>
    </w:p>
    <w:p w14:paraId="7941D61E">
      <w:pPr>
        <w:widowControl/>
        <w:spacing w:line="360" w:lineRule="exact"/>
        <w:jc w:val="left"/>
        <w:rPr>
          <w:rFonts w:asciiTheme="minorEastAsia" w:hAnsiTheme="minorEastAsia" w:eastAsiaTheme="minorEastAsia"/>
          <w:color w:val="auto"/>
          <w:kern w:val="0"/>
          <w:sz w:val="24"/>
          <w:szCs w:val="24"/>
          <w:highlight w:val="none"/>
        </w:rPr>
      </w:pPr>
    </w:p>
    <w:p w14:paraId="5B539407">
      <w:pPr>
        <w:widowControl/>
        <w:spacing w:line="360" w:lineRule="exact"/>
        <w:jc w:val="left"/>
        <w:rPr>
          <w:rFonts w:asciiTheme="minorEastAsia" w:hAnsiTheme="minorEastAsia" w:eastAsiaTheme="minorEastAsia"/>
          <w:color w:val="auto"/>
          <w:kern w:val="0"/>
          <w:sz w:val="24"/>
          <w:szCs w:val="24"/>
          <w:highlight w:val="none"/>
        </w:rPr>
      </w:pPr>
    </w:p>
    <w:p w14:paraId="5E8A910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乙方（中标或</w:t>
      </w:r>
      <w:r>
        <w:rPr>
          <w:rFonts w:hint="eastAsia" w:asciiTheme="minorEastAsia" w:hAnsiTheme="minorEastAsia" w:eastAsiaTheme="minorEastAsia"/>
          <w:color w:val="auto"/>
          <w:kern w:val="0"/>
          <w:sz w:val="24"/>
          <w:szCs w:val="24"/>
          <w:highlight w:val="none"/>
          <w:lang w:eastAsia="zh-CN"/>
        </w:rPr>
        <w:t>中标人</w:t>
      </w:r>
      <w:r>
        <w:rPr>
          <w:rFonts w:asciiTheme="minorEastAsia" w:hAnsiTheme="minorEastAsia" w:eastAsiaTheme="minorEastAsia"/>
          <w:color w:val="auto"/>
          <w:kern w:val="0"/>
          <w:sz w:val="24"/>
          <w:szCs w:val="24"/>
          <w:highlight w:val="none"/>
        </w:rPr>
        <w:t>）：</w:t>
      </w:r>
    </w:p>
    <w:p w14:paraId="06A2E863">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法定（授权）代表人：</w:t>
      </w:r>
    </w:p>
    <w:p w14:paraId="2656C862">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纳税人识别号：</w:t>
      </w:r>
    </w:p>
    <w:p w14:paraId="68B1E1B1">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开户银行：</w:t>
      </w:r>
    </w:p>
    <w:p w14:paraId="0DAF13EF">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账号：</w:t>
      </w:r>
    </w:p>
    <w:p w14:paraId="3845260B">
      <w:pPr>
        <w:widowControl/>
        <w:spacing w:line="360" w:lineRule="exact"/>
        <w:jc w:val="left"/>
        <w:rPr>
          <w:rFonts w:asciiTheme="minorEastAsia" w:hAnsiTheme="minorEastAsia" w:eastAsiaTheme="minorEastAsia"/>
          <w:color w:val="auto"/>
          <w:kern w:val="0"/>
          <w:sz w:val="24"/>
          <w:szCs w:val="24"/>
          <w:highlight w:val="none"/>
        </w:rPr>
      </w:pPr>
    </w:p>
    <w:p w14:paraId="7458D95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签订地点：_____________</w:t>
      </w:r>
    </w:p>
    <w:p w14:paraId="0501756E">
      <w:pPr>
        <w:widowControl/>
        <w:spacing w:line="360" w:lineRule="exact"/>
        <w:jc w:val="left"/>
        <w:rPr>
          <w:rFonts w:asciiTheme="minorEastAsia" w:hAnsiTheme="minorEastAsia" w:eastAsiaTheme="minorEastAsia"/>
          <w:color w:val="auto"/>
          <w:kern w:val="0"/>
          <w:sz w:val="24"/>
          <w:szCs w:val="24"/>
          <w:highlight w:val="none"/>
        </w:rPr>
      </w:pPr>
      <w:r>
        <w:rPr>
          <w:rFonts w:asciiTheme="minorEastAsia" w:hAnsiTheme="minorEastAsia" w:eastAsiaTheme="minorEastAsia"/>
          <w:color w:val="auto"/>
          <w:kern w:val="0"/>
          <w:sz w:val="24"/>
          <w:szCs w:val="24"/>
          <w:highlight w:val="none"/>
        </w:rPr>
        <w:t>签订日期：____年___月___日</w:t>
      </w:r>
    </w:p>
    <w:p w14:paraId="2624FB43">
      <w:pPr>
        <w:spacing w:after="120"/>
        <w:ind w:firstLine="210"/>
        <w:rPr>
          <w:color w:val="auto"/>
          <w:highlight w:val="none"/>
        </w:rPr>
      </w:pPr>
    </w:p>
    <w:p w14:paraId="4077A2B2">
      <w:pPr>
        <w:spacing w:line="360" w:lineRule="auto"/>
        <w:ind w:firstLine="480" w:firstLineChars="200"/>
        <w:rPr>
          <w:rFonts w:ascii="宋体" w:hAnsi="宋体"/>
          <w:color w:val="auto"/>
          <w:sz w:val="24"/>
          <w:highlight w:val="none"/>
        </w:rPr>
      </w:pPr>
    </w:p>
    <w:p w14:paraId="2F8F6E05">
      <w:pPr>
        <w:spacing w:line="360" w:lineRule="auto"/>
        <w:ind w:firstLine="480" w:firstLineChars="200"/>
        <w:rPr>
          <w:rFonts w:cs="宋体"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sz w:val="24"/>
          <w:szCs w:val="24"/>
          <w:highlight w:val="none"/>
        </w:rPr>
        <w:br w:type="page"/>
      </w:r>
      <w:bookmarkStart w:id="66" w:name="_Toc16545"/>
      <w:bookmarkStart w:id="67" w:name="_Toc421107731"/>
    </w:p>
    <w:bookmarkEnd w:id="66"/>
    <w:bookmarkEnd w:id="67"/>
    <w:p w14:paraId="66F65DA3">
      <w:pPr>
        <w:pStyle w:val="48"/>
        <w:spacing w:before="75" w:beforeAutospacing="0" w:after="75" w:afterAutospacing="0" w:line="435" w:lineRule="atLeast"/>
        <w:jc w:val="center"/>
        <w:outlineLvl w:val="0"/>
        <w:rPr>
          <w:rFonts w:asciiTheme="minorEastAsia" w:hAnsiTheme="minorEastAsia" w:eastAsiaTheme="minorEastAsia"/>
          <w:color w:val="auto"/>
          <w:sz w:val="22"/>
          <w:highlight w:val="none"/>
        </w:rPr>
      </w:pPr>
      <w:bookmarkStart w:id="68" w:name="_Toc1142434"/>
      <w:bookmarkStart w:id="69" w:name="_Toc15881"/>
      <w:bookmarkStart w:id="70" w:name="_Toc16901"/>
      <w:r>
        <w:rPr>
          <w:rStyle w:val="56"/>
          <w:rFonts w:hint="eastAsia" w:asciiTheme="minorEastAsia" w:hAnsiTheme="minorEastAsia" w:eastAsiaTheme="minorEastAsia"/>
          <w:color w:val="auto"/>
          <w:sz w:val="28"/>
          <w:szCs w:val="32"/>
          <w:highlight w:val="none"/>
        </w:rPr>
        <w:t>第五章投标文件格式</w:t>
      </w:r>
      <w:bookmarkEnd w:id="68"/>
      <w:bookmarkEnd w:id="69"/>
      <w:bookmarkEnd w:id="70"/>
    </w:p>
    <w:p w14:paraId="1643D407">
      <w:pPr>
        <w:pStyle w:val="48"/>
        <w:spacing w:before="75" w:beforeAutospacing="0" w:after="75" w:afterAutospacing="0"/>
        <w:jc w:val="center"/>
        <w:rPr>
          <w:rFonts w:asciiTheme="minorEastAsia" w:hAnsiTheme="minorEastAsia" w:eastAsiaTheme="minorEastAsia"/>
          <w:color w:val="auto"/>
          <w:highlight w:val="none"/>
        </w:rPr>
      </w:pPr>
      <w:r>
        <w:rPr>
          <w:rStyle w:val="56"/>
          <w:rFonts w:asciiTheme="minorEastAsia" w:hAnsiTheme="minorEastAsia" w:eastAsiaTheme="minorEastAsia"/>
          <w:color w:val="auto"/>
          <w:highlight w:val="none"/>
        </w:rPr>
        <w:t> </w:t>
      </w:r>
    </w:p>
    <w:p w14:paraId="1001B5CB">
      <w:pPr>
        <w:spacing w:line="360" w:lineRule="auto"/>
        <w:ind w:firstLine="480" w:firstLineChars="200"/>
        <w:rPr>
          <w:rFonts w:asciiTheme="minorEastAsia" w:hAnsiTheme="minorEastAsia" w:eastAsiaTheme="minorEastAsia"/>
          <w:b/>
          <w:color w:val="auto"/>
          <w:sz w:val="24"/>
          <w:szCs w:val="24"/>
          <w:highlight w:val="none"/>
        </w:rPr>
      </w:pPr>
      <w:r>
        <w:rPr>
          <w:rFonts w:hint="eastAsia" w:asciiTheme="minorEastAsia" w:hAnsiTheme="minorEastAsia" w:eastAsiaTheme="minorEastAsia"/>
          <w:bCs/>
          <w:color w:val="auto"/>
          <w:sz w:val="24"/>
          <w:szCs w:val="24"/>
          <w:highlight w:val="none"/>
        </w:rPr>
        <w:t>本附件所有格式仅供制作投标文件时参考，投标人应根据行业特点，结合本次采购设备（服务）的规格及技术参数要求，对有关表格进行补充或修改，但不得对实质性文件的相关条款作出变动。</w:t>
      </w:r>
    </w:p>
    <w:p w14:paraId="09008FA7">
      <w:pPr>
        <w:tabs>
          <w:tab w:val="left" w:pos="900"/>
        </w:tabs>
        <w:spacing w:line="360" w:lineRule="auto"/>
        <w:rPr>
          <w:rFonts w:asciiTheme="minorEastAsia" w:hAnsiTheme="minorEastAsia" w:eastAsiaTheme="minorEastAsia"/>
          <w:color w:val="auto"/>
          <w:sz w:val="24"/>
          <w:szCs w:val="24"/>
          <w:highlight w:val="none"/>
        </w:rPr>
      </w:pPr>
    </w:p>
    <w:p w14:paraId="3F9AEFFB">
      <w:pPr>
        <w:tabs>
          <w:tab w:val="left" w:pos="900"/>
        </w:tabs>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b/>
          <w:color w:val="auto"/>
          <w:sz w:val="24"/>
          <w:szCs w:val="24"/>
          <w:highlight w:val="none"/>
        </w:rPr>
        <w:t>注</w:t>
      </w:r>
      <w:r>
        <w:rPr>
          <w:rFonts w:asciiTheme="minorEastAsia" w:hAnsiTheme="minorEastAsia" w:eastAsiaTheme="minorEastAsia"/>
          <w:b/>
          <w:color w:val="auto"/>
          <w:sz w:val="24"/>
          <w:szCs w:val="24"/>
          <w:highlight w:val="none"/>
        </w:rPr>
        <w:t>:1</w:t>
      </w:r>
      <w:r>
        <w:rPr>
          <w:rFonts w:hint="eastAsia" w:asciiTheme="minorEastAsia" w:hAnsiTheme="minorEastAsia" w:eastAsiaTheme="minorEastAsia"/>
          <w:b/>
          <w:color w:val="auto"/>
          <w:sz w:val="24"/>
          <w:szCs w:val="24"/>
          <w:highlight w:val="none"/>
        </w:rPr>
        <w:t>、本附件格式分第一册“报价部分格式”和第二册“技术商务部分格式”两册</w:t>
      </w:r>
      <w:r>
        <w:rPr>
          <w:rFonts w:asciiTheme="minorEastAsia" w:hAnsiTheme="minorEastAsia" w:eastAsiaTheme="minorEastAsia"/>
          <w:b/>
          <w:color w:val="auto"/>
          <w:sz w:val="24"/>
          <w:szCs w:val="24"/>
          <w:highlight w:val="none"/>
        </w:rPr>
        <w:t>,</w:t>
      </w:r>
      <w:r>
        <w:rPr>
          <w:rFonts w:hint="eastAsia" w:asciiTheme="minorEastAsia" w:hAnsiTheme="minorEastAsia" w:eastAsiaTheme="minorEastAsia"/>
          <w:b/>
          <w:color w:val="auto"/>
          <w:sz w:val="24"/>
          <w:szCs w:val="24"/>
          <w:highlight w:val="none"/>
        </w:rPr>
        <w:t>装订时要求第一册和第二册均须单独装订。</w:t>
      </w:r>
    </w:p>
    <w:p w14:paraId="78C1681A">
      <w:pPr>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br w:type="page"/>
      </w:r>
    </w:p>
    <w:p w14:paraId="1F1E02E9">
      <w:pPr>
        <w:jc w:val="center"/>
        <w:rPr>
          <w:rFonts w:asciiTheme="minorEastAsia" w:hAnsiTheme="minorEastAsia" w:eastAsiaTheme="minorEastAsia"/>
          <w:color w:val="auto"/>
          <w:sz w:val="24"/>
          <w:szCs w:val="24"/>
          <w:highlight w:val="none"/>
        </w:rPr>
      </w:pPr>
    </w:p>
    <w:p w14:paraId="489C835D">
      <w:pPr>
        <w:jc w:val="center"/>
        <w:rPr>
          <w:rFonts w:asciiTheme="minorEastAsia" w:hAnsiTheme="minorEastAsia" w:eastAsiaTheme="minorEastAsia"/>
          <w:color w:val="auto"/>
          <w:sz w:val="24"/>
          <w:szCs w:val="24"/>
          <w:highlight w:val="none"/>
        </w:rPr>
      </w:pPr>
    </w:p>
    <w:p w14:paraId="59E80BF4">
      <w:pPr>
        <w:jc w:val="center"/>
        <w:rPr>
          <w:rFonts w:asciiTheme="minorEastAsia" w:hAnsiTheme="minorEastAsia" w:eastAsiaTheme="minorEastAsia"/>
          <w:color w:val="auto"/>
          <w:sz w:val="24"/>
          <w:szCs w:val="24"/>
          <w:highlight w:val="none"/>
        </w:rPr>
      </w:pPr>
    </w:p>
    <w:p w14:paraId="5FF6ED3A">
      <w:pPr>
        <w:jc w:val="center"/>
        <w:rPr>
          <w:rFonts w:hint="eastAsia" w:cs="宋体" w:asciiTheme="minorEastAsia" w:hAnsiTheme="minorEastAsia" w:eastAsiaTheme="minorEastAsia"/>
          <w:b/>
          <w:color w:val="auto"/>
          <w:sz w:val="72"/>
          <w:szCs w:val="18"/>
          <w:highlight w:val="none"/>
          <w:lang w:eastAsia="zh-CN"/>
        </w:rPr>
      </w:pPr>
      <w:r>
        <w:rPr>
          <w:rFonts w:hint="eastAsia" w:cs="宋体" w:asciiTheme="minorEastAsia" w:hAnsiTheme="minorEastAsia" w:eastAsiaTheme="minorEastAsia"/>
          <w:b/>
          <w:color w:val="auto"/>
          <w:sz w:val="72"/>
          <w:szCs w:val="18"/>
          <w:highlight w:val="none"/>
          <w:lang w:eastAsia="zh-CN"/>
        </w:rPr>
        <w:t>福建省公安厅信访安保服务项目</w:t>
      </w:r>
    </w:p>
    <w:p w14:paraId="5C9FC86C">
      <w:pPr>
        <w:spacing w:line="360" w:lineRule="auto"/>
        <w:jc w:val="center"/>
        <w:rPr>
          <w:rFonts w:asciiTheme="minorEastAsia" w:hAnsiTheme="minorEastAsia" w:eastAsiaTheme="minorEastAsia"/>
          <w:b/>
          <w:color w:val="auto"/>
          <w:sz w:val="72"/>
          <w:szCs w:val="24"/>
          <w:highlight w:val="none"/>
        </w:rPr>
      </w:pPr>
    </w:p>
    <w:p w14:paraId="11B7C967">
      <w:pPr>
        <w:spacing w:line="360" w:lineRule="auto"/>
        <w:jc w:val="center"/>
        <w:rPr>
          <w:rFonts w:asciiTheme="minorEastAsia" w:hAnsiTheme="minorEastAsia" w:eastAsiaTheme="minorEastAsia"/>
          <w:b/>
          <w:color w:val="auto"/>
          <w:sz w:val="72"/>
          <w:szCs w:val="24"/>
          <w:highlight w:val="none"/>
        </w:rPr>
      </w:pPr>
      <w:r>
        <w:rPr>
          <w:rFonts w:hint="eastAsia" w:asciiTheme="minorEastAsia" w:hAnsiTheme="minorEastAsia" w:eastAsiaTheme="minorEastAsia"/>
          <w:b/>
          <w:color w:val="auto"/>
          <w:sz w:val="72"/>
          <w:szCs w:val="24"/>
          <w:highlight w:val="none"/>
        </w:rPr>
        <w:t>投标文件</w:t>
      </w:r>
    </w:p>
    <w:p w14:paraId="10046462">
      <w:pPr>
        <w:tabs>
          <w:tab w:val="left" w:pos="900"/>
        </w:tabs>
        <w:spacing w:line="360" w:lineRule="auto"/>
        <w:jc w:val="center"/>
        <w:rPr>
          <w:rFonts w:asciiTheme="minorEastAsia" w:hAnsiTheme="minorEastAsia" w:eastAsiaTheme="minorEastAsia"/>
          <w:color w:val="auto"/>
          <w:sz w:val="52"/>
          <w:szCs w:val="52"/>
          <w:highlight w:val="none"/>
        </w:rPr>
      </w:pPr>
    </w:p>
    <w:p w14:paraId="2C3BD703">
      <w:pPr>
        <w:tabs>
          <w:tab w:val="left" w:pos="900"/>
        </w:tabs>
        <w:spacing w:line="360" w:lineRule="auto"/>
        <w:jc w:val="center"/>
        <w:rPr>
          <w:rFonts w:asciiTheme="minorEastAsia" w:hAnsiTheme="minorEastAsia" w:eastAsiaTheme="minorEastAsia"/>
          <w:color w:val="auto"/>
          <w:sz w:val="52"/>
          <w:szCs w:val="52"/>
          <w:highlight w:val="none"/>
        </w:rPr>
      </w:pPr>
      <w:r>
        <w:rPr>
          <w:rFonts w:hint="eastAsia" w:asciiTheme="minorEastAsia" w:hAnsiTheme="minorEastAsia" w:eastAsiaTheme="minorEastAsia"/>
          <w:color w:val="auto"/>
          <w:sz w:val="52"/>
          <w:szCs w:val="52"/>
          <w:highlight w:val="none"/>
        </w:rPr>
        <w:t>（第一册报价部分）</w:t>
      </w:r>
    </w:p>
    <w:p w14:paraId="4338EB87">
      <w:pPr>
        <w:tabs>
          <w:tab w:val="left" w:pos="900"/>
        </w:tabs>
        <w:spacing w:line="360" w:lineRule="auto"/>
        <w:rPr>
          <w:rFonts w:asciiTheme="minorEastAsia" w:hAnsiTheme="minorEastAsia" w:eastAsiaTheme="minorEastAsia"/>
          <w:color w:val="auto"/>
          <w:szCs w:val="21"/>
          <w:highlight w:val="none"/>
        </w:rPr>
      </w:pPr>
    </w:p>
    <w:p w14:paraId="3D1EB3EA">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项目名称：</w:t>
      </w:r>
    </w:p>
    <w:p w14:paraId="33F57135">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招标编号：</w:t>
      </w:r>
    </w:p>
    <w:p w14:paraId="4D328545">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18F33FDD">
      <w:pPr>
        <w:tabs>
          <w:tab w:val="left" w:pos="900"/>
        </w:tabs>
        <w:spacing w:line="360" w:lineRule="auto"/>
        <w:ind w:firstLine="2342" w:firstLineChars="648"/>
        <w:rPr>
          <w:rFonts w:asciiTheme="minorEastAsia" w:hAnsiTheme="minorEastAsia" w:eastAsiaTheme="minorEastAsia"/>
          <w:b/>
          <w:color w:val="auto"/>
          <w:sz w:val="36"/>
          <w:szCs w:val="36"/>
          <w:highlight w:val="none"/>
          <w:u w:val="single"/>
        </w:rPr>
      </w:pPr>
      <w:r>
        <w:rPr>
          <w:rFonts w:hint="eastAsia" w:asciiTheme="minorEastAsia" w:hAnsiTheme="minorEastAsia" w:eastAsiaTheme="minorEastAsia"/>
          <w:b/>
          <w:color w:val="auto"/>
          <w:sz w:val="36"/>
          <w:szCs w:val="36"/>
          <w:highlight w:val="none"/>
        </w:rPr>
        <w:t>所投合同包：</w:t>
      </w:r>
    </w:p>
    <w:p w14:paraId="4ECED130">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0E2178A4">
      <w:pPr>
        <w:tabs>
          <w:tab w:val="left" w:pos="900"/>
          <w:tab w:val="left" w:pos="6840"/>
        </w:tabs>
        <w:spacing w:line="360" w:lineRule="auto"/>
        <w:ind w:firstLine="2342" w:firstLineChars="648"/>
        <w:rPr>
          <w:rFonts w:asciiTheme="minorEastAsia" w:hAnsiTheme="minorEastAsia" w:eastAsiaTheme="minorEastAsia"/>
          <w:b/>
          <w:color w:val="auto"/>
          <w:sz w:val="36"/>
          <w:szCs w:val="36"/>
          <w:highlight w:val="none"/>
          <w:u w:val="single"/>
        </w:rPr>
      </w:pPr>
      <w:r>
        <w:rPr>
          <w:rFonts w:hint="eastAsia" w:asciiTheme="minorEastAsia" w:hAnsiTheme="minorEastAsia" w:eastAsiaTheme="minorEastAsia"/>
          <w:b/>
          <w:color w:val="auto"/>
          <w:sz w:val="36"/>
          <w:szCs w:val="36"/>
          <w:highlight w:val="none"/>
        </w:rPr>
        <w:t>投标人名称：</w:t>
      </w:r>
    </w:p>
    <w:p w14:paraId="02DD06BD">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地址：</w:t>
      </w:r>
    </w:p>
    <w:p w14:paraId="660FF174">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日期：</w:t>
      </w:r>
    </w:p>
    <w:p w14:paraId="248662C7">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72AB8EC7">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39C77E43">
      <w:pPr>
        <w:tabs>
          <w:tab w:val="left" w:pos="900"/>
        </w:tabs>
        <w:spacing w:line="360" w:lineRule="auto"/>
        <w:jc w:val="center"/>
        <w:rPr>
          <w:rFonts w:asciiTheme="minorEastAsia" w:hAnsiTheme="minorEastAsia" w:eastAsiaTheme="minorEastAsia"/>
          <w:b/>
          <w:color w:val="auto"/>
          <w:sz w:val="32"/>
          <w:szCs w:val="36"/>
          <w:highlight w:val="none"/>
        </w:rPr>
      </w:pPr>
      <w:r>
        <w:rPr>
          <w:rFonts w:hint="eastAsia" w:asciiTheme="minorEastAsia" w:hAnsiTheme="minorEastAsia" w:eastAsiaTheme="minorEastAsia"/>
          <w:b/>
          <w:color w:val="auto"/>
          <w:sz w:val="32"/>
          <w:szCs w:val="36"/>
          <w:highlight w:val="none"/>
        </w:rPr>
        <w:t>报价标目录</w:t>
      </w:r>
    </w:p>
    <w:p w14:paraId="01F029CD">
      <w:pPr>
        <w:tabs>
          <w:tab w:val="left" w:pos="900"/>
        </w:tabs>
        <w:spacing w:line="360" w:lineRule="auto"/>
        <w:ind w:left="1260"/>
        <w:rPr>
          <w:rFonts w:asciiTheme="minorEastAsia" w:hAnsiTheme="minorEastAsia" w:eastAsiaTheme="minorEastAsia"/>
          <w:b/>
          <w:color w:val="auto"/>
          <w:sz w:val="36"/>
          <w:szCs w:val="36"/>
          <w:highlight w:val="none"/>
        </w:rPr>
      </w:pPr>
    </w:p>
    <w:p w14:paraId="3871326B">
      <w:pPr>
        <w:tabs>
          <w:tab w:val="left" w:pos="900"/>
        </w:tabs>
        <w:spacing w:line="360" w:lineRule="auto"/>
        <w:ind w:left="126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一、开标一览表</w:t>
      </w:r>
    </w:p>
    <w:p w14:paraId="45EC8A63">
      <w:pPr>
        <w:tabs>
          <w:tab w:val="left" w:pos="900"/>
        </w:tabs>
        <w:spacing w:line="360" w:lineRule="auto"/>
        <w:ind w:left="126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二、投标分项报价表</w:t>
      </w:r>
    </w:p>
    <w:p w14:paraId="1F2327F1">
      <w:pPr>
        <w:tabs>
          <w:tab w:val="left" w:pos="900"/>
        </w:tabs>
        <w:spacing w:line="360" w:lineRule="auto"/>
        <w:ind w:left="126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三、招标文件规定的价格扣除证明材料（若有）</w:t>
      </w:r>
    </w:p>
    <w:p w14:paraId="7FB0EDDD">
      <w:pPr>
        <w:tabs>
          <w:tab w:val="left" w:pos="900"/>
        </w:tabs>
        <w:spacing w:line="360" w:lineRule="auto"/>
        <w:ind w:left="126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color w:val="auto"/>
          <w:sz w:val="28"/>
          <w:szCs w:val="28"/>
          <w:highlight w:val="none"/>
        </w:rPr>
        <w:t>四、招标文件规定的加分证明材料（若有）</w:t>
      </w:r>
    </w:p>
    <w:p w14:paraId="536F7F17">
      <w:pPr>
        <w:pStyle w:val="52"/>
        <w:ind w:firstLine="210"/>
        <w:rPr>
          <w:color w:val="auto"/>
          <w:highlight w:val="none"/>
        </w:rPr>
      </w:pPr>
    </w:p>
    <w:p w14:paraId="44BB392D">
      <w:pPr>
        <w:pStyle w:val="52"/>
        <w:ind w:firstLine="210"/>
        <w:rPr>
          <w:color w:val="auto"/>
          <w:highlight w:val="none"/>
        </w:rPr>
      </w:pPr>
    </w:p>
    <w:p w14:paraId="7959896D">
      <w:pPr>
        <w:tabs>
          <w:tab w:val="left" w:pos="900"/>
        </w:tabs>
        <w:spacing w:line="360" w:lineRule="auto"/>
        <w:ind w:firstLine="2642" w:firstLineChars="940"/>
        <w:rPr>
          <w:rFonts w:asciiTheme="minorEastAsia" w:hAnsiTheme="minorEastAsia" w:eastAsiaTheme="minorEastAsia"/>
          <w:b/>
          <w:color w:val="auto"/>
          <w:sz w:val="28"/>
          <w:szCs w:val="28"/>
          <w:highlight w:val="none"/>
        </w:rPr>
      </w:pPr>
    </w:p>
    <w:p w14:paraId="3F700B66">
      <w:pPr>
        <w:tabs>
          <w:tab w:val="left" w:pos="900"/>
        </w:tabs>
        <w:spacing w:line="360" w:lineRule="auto"/>
        <w:jc w:val="center"/>
        <w:rPr>
          <w:rFonts w:asciiTheme="minorEastAsia" w:hAnsiTheme="minorEastAsia" w:eastAsiaTheme="minorEastAsia"/>
          <w:b/>
          <w:color w:val="auto"/>
          <w:sz w:val="48"/>
          <w:szCs w:val="48"/>
          <w:highlight w:val="none"/>
        </w:rPr>
      </w:pPr>
    </w:p>
    <w:p w14:paraId="4C8053DE">
      <w:pPr>
        <w:widowControl/>
        <w:spacing w:after="150"/>
        <w:jc w:val="center"/>
        <w:rPr>
          <w:rFonts w:cs="宋体" w:asciiTheme="minorEastAsia" w:hAnsiTheme="minorEastAsia" w:eastAsiaTheme="minorEastAsia"/>
          <w:color w:val="auto"/>
          <w:kern w:val="0"/>
          <w:sz w:val="24"/>
          <w:szCs w:val="24"/>
          <w:highlight w:val="none"/>
        </w:rPr>
      </w:pPr>
      <w:r>
        <w:rPr>
          <w:rFonts w:asciiTheme="minorEastAsia" w:hAnsiTheme="minorEastAsia" w:eastAsiaTheme="minorEastAsia"/>
          <w:b/>
          <w:bCs/>
          <w:color w:val="auto"/>
          <w:sz w:val="48"/>
          <w:szCs w:val="48"/>
          <w:highlight w:val="none"/>
        </w:rPr>
        <w:br w:type="page"/>
      </w:r>
      <w:r>
        <w:rPr>
          <w:rFonts w:hint="eastAsia" w:cs="宋体" w:asciiTheme="minorEastAsia" w:hAnsiTheme="minorEastAsia" w:eastAsiaTheme="minorEastAsia"/>
          <w:b/>
          <w:bCs/>
          <w:color w:val="auto"/>
          <w:kern w:val="0"/>
          <w:szCs w:val="21"/>
          <w:highlight w:val="none"/>
        </w:rPr>
        <w:t>一、开标一览表</w:t>
      </w:r>
    </w:p>
    <w:p w14:paraId="73578C1F">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 </w:t>
      </w:r>
    </w:p>
    <w:p w14:paraId="399E6FE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招标编号：</w:t>
      </w:r>
      <w:r>
        <w:rPr>
          <w:rFonts w:cs="宋体" w:asciiTheme="minorEastAsia" w:hAnsiTheme="minorEastAsia" w:eastAsiaTheme="minorEastAsia"/>
          <w:color w:val="auto"/>
          <w:kern w:val="0"/>
          <w:szCs w:val="21"/>
          <w:highlight w:val="none"/>
          <w:u w:val="single"/>
        </w:rPr>
        <w:t>                   </w:t>
      </w:r>
    </w:p>
    <w:p w14:paraId="65AE16E5">
      <w:pPr>
        <w:widowControl/>
        <w:spacing w:after="150"/>
        <w:jc w:val="righ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货币及单位：人民币元</w:t>
      </w:r>
    </w:p>
    <w:tbl>
      <w:tblPr>
        <w:tblStyle w:val="53"/>
        <w:tblW w:w="0" w:type="auto"/>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fixed"/>
        <w:tblCellMar>
          <w:top w:w="15" w:type="dxa"/>
          <w:left w:w="15" w:type="dxa"/>
          <w:bottom w:w="15" w:type="dxa"/>
          <w:right w:w="15" w:type="dxa"/>
        </w:tblCellMar>
      </w:tblPr>
      <w:tblGrid>
        <w:gridCol w:w="1246"/>
        <w:gridCol w:w="4387"/>
        <w:gridCol w:w="1135"/>
        <w:gridCol w:w="3188"/>
      </w:tblGrid>
      <w:tr w14:paraId="0442F84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4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E71213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合同包</w:t>
            </w:r>
          </w:p>
        </w:tc>
        <w:tc>
          <w:tcPr>
            <w:tcW w:w="4387"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2BC718">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投标报价</w:t>
            </w:r>
          </w:p>
        </w:tc>
        <w:tc>
          <w:tcPr>
            <w:tcW w:w="113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CF2104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w:t>
            </w:r>
          </w:p>
          <w:p w14:paraId="2EDD24B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保证金</w:t>
            </w:r>
          </w:p>
        </w:tc>
        <w:tc>
          <w:tcPr>
            <w:tcW w:w="318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BA4EED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备注</w:t>
            </w:r>
          </w:p>
        </w:tc>
      </w:tr>
      <w:tr w14:paraId="6A8BDA2B">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52" w:hRule="atLeast"/>
        </w:trPr>
        <w:tc>
          <w:tcPr>
            <w:tcW w:w="124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D6EA527">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w:t>
            </w:r>
          </w:p>
        </w:tc>
        <w:tc>
          <w:tcPr>
            <w:tcW w:w="438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1F3B82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投标总价（大写金额）：</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w:t>
            </w:r>
          </w:p>
        </w:tc>
        <w:tc>
          <w:tcPr>
            <w:tcW w:w="1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6CFCA01">
            <w:pPr>
              <w:widowControl/>
              <w:jc w:val="left"/>
              <w:rPr>
                <w:rFonts w:cs="宋体" w:asciiTheme="minorEastAsia" w:hAnsiTheme="minorEastAsia" w:eastAsiaTheme="minorEastAsia"/>
                <w:color w:val="auto"/>
                <w:kern w:val="0"/>
                <w:sz w:val="24"/>
                <w:szCs w:val="24"/>
                <w:highlight w:val="none"/>
              </w:rPr>
            </w:pPr>
          </w:p>
        </w:tc>
        <w:tc>
          <w:tcPr>
            <w:tcW w:w="3188"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30F55B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a.</w:t>
            </w:r>
            <w:r>
              <w:rPr>
                <w:rFonts w:hint="eastAsia" w:cs="宋体" w:asciiTheme="minorEastAsia" w:hAnsiTheme="minorEastAsia" w:eastAsiaTheme="minorEastAsia"/>
                <w:color w:val="auto"/>
                <w:kern w:val="0"/>
                <w:szCs w:val="21"/>
                <w:highlight w:val="none"/>
              </w:rPr>
              <w:t>投标报价的明细：详见《投标分项报价表》。</w:t>
            </w:r>
          </w:p>
          <w:p w14:paraId="2E3166A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b.</w:t>
            </w:r>
            <w:r>
              <w:rPr>
                <w:rFonts w:hint="eastAsia" w:cs="宋体" w:asciiTheme="minorEastAsia" w:hAnsiTheme="minorEastAsia" w:eastAsiaTheme="minorEastAsia"/>
                <w:color w:val="auto"/>
                <w:kern w:val="0"/>
                <w:szCs w:val="21"/>
                <w:highlight w:val="none"/>
              </w:rPr>
              <w:t>招标文件规定的价格扣除证明材料（若有）：详见报价部分。</w:t>
            </w:r>
          </w:p>
        </w:tc>
      </w:tr>
      <w:tr w14:paraId="1EE6B2A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124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44FAFBE">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w:t>
            </w:r>
          </w:p>
        </w:tc>
        <w:tc>
          <w:tcPr>
            <w:tcW w:w="4387"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6F7181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投标总价（大写金额）：</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w:t>
            </w:r>
          </w:p>
        </w:tc>
        <w:tc>
          <w:tcPr>
            <w:tcW w:w="113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7BECDB">
            <w:pPr>
              <w:widowControl/>
              <w:jc w:val="left"/>
              <w:rPr>
                <w:rFonts w:cs="宋体" w:asciiTheme="minorEastAsia" w:hAnsiTheme="minorEastAsia" w:eastAsiaTheme="minorEastAsia"/>
                <w:color w:val="auto"/>
                <w:kern w:val="0"/>
                <w:sz w:val="24"/>
                <w:szCs w:val="24"/>
                <w:highlight w:val="none"/>
              </w:rPr>
            </w:pPr>
          </w:p>
        </w:tc>
        <w:tc>
          <w:tcPr>
            <w:tcW w:w="3188" w:type="dxa"/>
            <w:vMerge w:val="continue"/>
            <w:tcBorders>
              <w:top w:val="nil"/>
              <w:left w:val="nil"/>
              <w:bottom w:val="single" w:color="auto" w:sz="6" w:space="0"/>
              <w:right w:val="single" w:color="auto" w:sz="6" w:space="0"/>
            </w:tcBorders>
            <w:vAlign w:val="center"/>
          </w:tcPr>
          <w:p w14:paraId="743F984F">
            <w:pPr>
              <w:widowControl/>
              <w:jc w:val="left"/>
              <w:rPr>
                <w:rFonts w:cs="宋体" w:asciiTheme="minorEastAsia" w:hAnsiTheme="minorEastAsia" w:eastAsiaTheme="minorEastAsia"/>
                <w:color w:val="auto"/>
                <w:kern w:val="0"/>
                <w:sz w:val="24"/>
                <w:szCs w:val="24"/>
                <w:highlight w:val="none"/>
              </w:rPr>
            </w:pPr>
          </w:p>
        </w:tc>
      </w:tr>
    </w:tbl>
    <w:p w14:paraId="030B32A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★注意：</w:t>
      </w:r>
    </w:p>
    <w:p w14:paraId="1BD310A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、本表应按照下列规定填写：</w:t>
      </w:r>
    </w:p>
    <w:p w14:paraId="53F1155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1.1</w:t>
      </w:r>
      <w:r>
        <w:rPr>
          <w:rFonts w:hint="eastAsia" w:cs="宋体" w:asciiTheme="minorEastAsia" w:hAnsiTheme="minorEastAsia" w:eastAsiaTheme="minorEastAsia"/>
          <w:color w:val="auto"/>
          <w:kern w:val="0"/>
          <w:szCs w:val="21"/>
          <w:highlight w:val="none"/>
        </w:rPr>
        <w:t>投标人应按照本表格式填写所投的合同包的“投标报价”。</w:t>
      </w:r>
    </w:p>
    <w:p w14:paraId="1ADF0F7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1.2</w:t>
      </w:r>
      <w:r>
        <w:rPr>
          <w:rFonts w:hint="eastAsia" w:cs="宋体" w:asciiTheme="minorEastAsia" w:hAnsiTheme="minorEastAsia" w:eastAsiaTheme="minorEastAsia"/>
          <w:color w:val="auto"/>
          <w:kern w:val="0"/>
          <w:szCs w:val="21"/>
          <w:highlight w:val="none"/>
        </w:rPr>
        <w:t>本表中列示的“合同包”应与《投标分项报价表》中列示的“合同包”保持一致，即：若本表中列示的“合同包”为“</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”时，《投标分项报价表》中列示的“合同包”亦应为“</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”，以此类推。</w:t>
      </w:r>
    </w:p>
    <w:p w14:paraId="40B6CD3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1.3</w:t>
      </w:r>
      <w:r>
        <w:rPr>
          <w:rFonts w:hint="eastAsia" w:cs="宋体" w:asciiTheme="minorEastAsia" w:hAnsiTheme="minorEastAsia" w:eastAsiaTheme="minorEastAsia"/>
          <w:color w:val="auto"/>
          <w:kern w:val="0"/>
          <w:szCs w:val="21"/>
          <w:highlight w:val="none"/>
        </w:rPr>
        <w:t>“大写金额”指“投标报价”应用“壹、贰、叁、肆、伍、陆、柒、捌、玖、拾、佰、仟、万、亿、元、角、分、零”等进行填写。</w:t>
      </w:r>
    </w:p>
    <w:p w14:paraId="5AF92DE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、纸质投标文件正本中的本表应为原件。</w:t>
      </w:r>
    </w:p>
    <w:p w14:paraId="3CE96522">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 </w:t>
      </w:r>
    </w:p>
    <w:p w14:paraId="3A4265C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投标人：</w:t>
      </w:r>
      <w:r>
        <w:rPr>
          <w:rFonts w:hint="eastAsia" w:cs="宋体" w:asciiTheme="minorEastAsia" w:hAnsiTheme="minorEastAsia" w:eastAsiaTheme="minorEastAsia"/>
          <w:color w:val="auto"/>
          <w:kern w:val="0"/>
          <w:szCs w:val="21"/>
          <w:highlight w:val="none"/>
          <w:u w:val="single"/>
        </w:rPr>
        <w:t>（全称并加盖单位公章）</w:t>
      </w:r>
    </w:p>
    <w:p w14:paraId="671FAF29">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投标人代表签字：</w:t>
      </w:r>
      <w:r>
        <w:rPr>
          <w:rFonts w:cs="宋体" w:asciiTheme="minorEastAsia" w:hAnsiTheme="minorEastAsia" w:eastAsiaTheme="minorEastAsia"/>
          <w:color w:val="auto"/>
          <w:kern w:val="0"/>
          <w:szCs w:val="21"/>
          <w:highlight w:val="none"/>
          <w:u w:val="single"/>
        </w:rPr>
        <w:t>                   </w:t>
      </w:r>
    </w:p>
    <w:p w14:paraId="4F0F5AB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日期：</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年</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月</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日</w:t>
      </w:r>
    </w:p>
    <w:p w14:paraId="174FE03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 </w:t>
      </w:r>
    </w:p>
    <w:p w14:paraId="3DEAA792">
      <w:pPr>
        <w:widowControl/>
        <w:spacing w:after="150"/>
        <w:jc w:val="center"/>
        <w:rPr>
          <w:rFonts w:cs="宋体" w:asciiTheme="minorEastAsia" w:hAnsiTheme="minorEastAsia" w:eastAsiaTheme="minorEastAsia"/>
          <w:b/>
          <w:bCs/>
          <w:color w:val="auto"/>
          <w:kern w:val="0"/>
          <w:szCs w:val="21"/>
          <w:highlight w:val="none"/>
        </w:rPr>
      </w:pPr>
    </w:p>
    <w:p w14:paraId="306B1314">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Cs w:val="21"/>
          <w:highlight w:val="none"/>
        </w:rPr>
        <w:t>二、投标分项报价表</w:t>
      </w:r>
    </w:p>
    <w:p w14:paraId="08DCE9D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 </w:t>
      </w:r>
    </w:p>
    <w:p w14:paraId="099F15A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招标编号：</w:t>
      </w:r>
      <w:r>
        <w:rPr>
          <w:rFonts w:cs="宋体" w:asciiTheme="minorEastAsia" w:hAnsiTheme="minorEastAsia" w:eastAsiaTheme="minorEastAsia"/>
          <w:color w:val="auto"/>
          <w:kern w:val="0"/>
          <w:szCs w:val="21"/>
          <w:highlight w:val="none"/>
          <w:u w:val="single"/>
        </w:rPr>
        <w:t>                   </w:t>
      </w:r>
    </w:p>
    <w:p w14:paraId="15C0E35A">
      <w:pPr>
        <w:widowControl/>
        <w:spacing w:after="150"/>
        <w:jc w:val="righ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货币及单位：人民币元</w:t>
      </w:r>
    </w:p>
    <w:tbl>
      <w:tblPr>
        <w:tblStyle w:val="53"/>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492"/>
        <w:gridCol w:w="1119"/>
        <w:gridCol w:w="1818"/>
        <w:gridCol w:w="1486"/>
        <w:gridCol w:w="998"/>
        <w:gridCol w:w="1155"/>
        <w:gridCol w:w="665"/>
        <w:gridCol w:w="1277"/>
        <w:gridCol w:w="946"/>
      </w:tblGrid>
      <w:tr w14:paraId="0A26C380">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A93B81A">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合同包</w:t>
            </w:r>
          </w:p>
        </w:tc>
        <w:tc>
          <w:tcPr>
            <w:tcW w:w="56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959C35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品目号</w:t>
            </w:r>
          </w:p>
        </w:tc>
        <w:tc>
          <w:tcPr>
            <w:tcW w:w="91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07B1676">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投标标的</w:t>
            </w:r>
          </w:p>
        </w:tc>
        <w:tc>
          <w:tcPr>
            <w:tcW w:w="746"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AEAF83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规格</w:t>
            </w:r>
          </w:p>
        </w:tc>
        <w:tc>
          <w:tcPr>
            <w:tcW w:w="501"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083F46A">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来源地</w:t>
            </w:r>
          </w:p>
        </w:tc>
        <w:tc>
          <w:tcPr>
            <w:tcW w:w="580"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0E1EDD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单价</w:t>
            </w:r>
          </w:p>
          <w:p w14:paraId="5C6F971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（现场）</w:t>
            </w:r>
          </w:p>
        </w:tc>
        <w:tc>
          <w:tcPr>
            <w:tcW w:w="334"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F891697">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数量</w:t>
            </w:r>
          </w:p>
        </w:tc>
        <w:tc>
          <w:tcPr>
            <w:tcW w:w="641"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43FB24">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总价</w:t>
            </w:r>
          </w:p>
          <w:p w14:paraId="577AFEB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（现场）</w:t>
            </w:r>
          </w:p>
        </w:tc>
        <w:tc>
          <w:tcPr>
            <w:tcW w:w="475"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9AE2901">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备注</w:t>
            </w:r>
          </w:p>
        </w:tc>
      </w:tr>
      <w:tr w14:paraId="39E1F2A9">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B4F8F84">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w:t>
            </w: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50EC892">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w:t>
            </w: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7C8EF69">
            <w:pPr>
              <w:widowControl/>
              <w:jc w:val="left"/>
              <w:rPr>
                <w:rFonts w:cs="宋体" w:asciiTheme="minorEastAsia" w:hAnsiTheme="minorEastAsia" w:eastAsiaTheme="minorEastAsia"/>
                <w:color w:val="auto"/>
                <w:kern w:val="0"/>
                <w:sz w:val="24"/>
                <w:szCs w:val="24"/>
                <w:highlight w:val="none"/>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8C435D">
            <w:pPr>
              <w:widowControl/>
              <w:jc w:val="left"/>
              <w:rPr>
                <w:rFonts w:cs="宋体" w:asciiTheme="minorEastAsia" w:hAnsiTheme="minorEastAsia" w:eastAsiaTheme="minorEastAsia"/>
                <w:color w:val="auto"/>
                <w:kern w:val="0"/>
                <w:sz w:val="24"/>
                <w:szCs w:val="24"/>
                <w:highlight w:val="none"/>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A46FE47">
            <w:pPr>
              <w:widowControl/>
              <w:jc w:val="left"/>
              <w:rPr>
                <w:rFonts w:cs="宋体" w:asciiTheme="minorEastAsia" w:hAnsiTheme="minorEastAsia" w:eastAsiaTheme="minorEastAsia"/>
                <w:color w:val="auto"/>
                <w:kern w:val="0"/>
                <w:sz w:val="24"/>
                <w:szCs w:val="24"/>
                <w:highlight w:val="none"/>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DB22879">
            <w:pPr>
              <w:widowControl/>
              <w:jc w:val="left"/>
              <w:rPr>
                <w:rFonts w:cs="宋体" w:asciiTheme="minorEastAsia" w:hAnsiTheme="minorEastAsia" w:eastAsiaTheme="minorEastAsia"/>
                <w:color w:val="auto"/>
                <w:kern w:val="0"/>
                <w:sz w:val="24"/>
                <w:szCs w:val="24"/>
                <w:highlight w:val="none"/>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40888C6">
            <w:pPr>
              <w:widowControl/>
              <w:jc w:val="left"/>
              <w:rPr>
                <w:rFonts w:cs="宋体" w:asciiTheme="minorEastAsia" w:hAnsiTheme="minorEastAsia" w:eastAsiaTheme="minorEastAsia"/>
                <w:color w:val="auto"/>
                <w:kern w:val="0"/>
                <w:sz w:val="24"/>
                <w:szCs w:val="24"/>
                <w:highlight w:val="none"/>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3A80C00">
            <w:pPr>
              <w:widowControl/>
              <w:jc w:val="left"/>
              <w:rPr>
                <w:rFonts w:cs="宋体" w:asciiTheme="minorEastAsia" w:hAnsiTheme="minorEastAsia" w:eastAsiaTheme="minorEastAsia"/>
                <w:color w:val="auto"/>
                <w:kern w:val="0"/>
                <w:sz w:val="24"/>
                <w:szCs w:val="24"/>
                <w:highlight w:val="none"/>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07869FC">
            <w:pPr>
              <w:widowControl/>
              <w:jc w:val="left"/>
              <w:rPr>
                <w:rFonts w:cs="宋体" w:asciiTheme="minorEastAsia" w:hAnsiTheme="minorEastAsia" w:eastAsiaTheme="minorEastAsia"/>
                <w:color w:val="auto"/>
                <w:kern w:val="0"/>
                <w:sz w:val="24"/>
                <w:szCs w:val="24"/>
                <w:highlight w:val="none"/>
              </w:rPr>
            </w:pPr>
          </w:p>
        </w:tc>
      </w:tr>
      <w:tr w14:paraId="4F856CA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vMerge w:val="continue"/>
            <w:tcBorders>
              <w:top w:val="nil"/>
              <w:left w:val="single" w:color="auto" w:sz="6" w:space="0"/>
              <w:bottom w:val="single" w:color="auto" w:sz="6" w:space="0"/>
              <w:right w:val="single" w:color="auto" w:sz="6" w:space="0"/>
            </w:tcBorders>
            <w:vAlign w:val="center"/>
          </w:tcPr>
          <w:p w14:paraId="4E2AB9B3">
            <w:pPr>
              <w:widowControl/>
              <w:jc w:val="left"/>
              <w:rPr>
                <w:rFonts w:cs="宋体" w:asciiTheme="minorEastAsia" w:hAnsiTheme="minorEastAsia" w:eastAsiaTheme="minorEastAsia"/>
                <w:color w:val="auto"/>
                <w:kern w:val="0"/>
                <w:sz w:val="24"/>
                <w:szCs w:val="24"/>
                <w:highlight w:val="none"/>
              </w:rPr>
            </w:pP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902B139">
            <w:pPr>
              <w:widowControl/>
              <w:jc w:val="left"/>
              <w:rPr>
                <w:rFonts w:cs="宋体" w:asciiTheme="minorEastAsia" w:hAnsiTheme="minorEastAsia" w:eastAsiaTheme="minorEastAsia"/>
                <w:color w:val="auto"/>
                <w:kern w:val="0"/>
                <w:sz w:val="24"/>
                <w:szCs w:val="24"/>
                <w:highlight w:val="none"/>
              </w:rPr>
            </w:pP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B3700FA">
            <w:pPr>
              <w:widowControl/>
              <w:jc w:val="left"/>
              <w:rPr>
                <w:rFonts w:cs="宋体" w:asciiTheme="minorEastAsia" w:hAnsiTheme="minorEastAsia" w:eastAsiaTheme="minorEastAsia"/>
                <w:color w:val="auto"/>
                <w:kern w:val="0"/>
                <w:sz w:val="24"/>
                <w:szCs w:val="24"/>
                <w:highlight w:val="none"/>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58264F2">
            <w:pPr>
              <w:widowControl/>
              <w:jc w:val="left"/>
              <w:rPr>
                <w:rFonts w:cs="宋体" w:asciiTheme="minorEastAsia" w:hAnsiTheme="minorEastAsia" w:eastAsiaTheme="minorEastAsia"/>
                <w:color w:val="auto"/>
                <w:kern w:val="0"/>
                <w:sz w:val="24"/>
                <w:szCs w:val="24"/>
                <w:highlight w:val="none"/>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6D00785">
            <w:pPr>
              <w:widowControl/>
              <w:jc w:val="left"/>
              <w:rPr>
                <w:rFonts w:cs="宋体" w:asciiTheme="minorEastAsia" w:hAnsiTheme="minorEastAsia" w:eastAsiaTheme="minorEastAsia"/>
                <w:color w:val="auto"/>
                <w:kern w:val="0"/>
                <w:sz w:val="24"/>
                <w:szCs w:val="24"/>
                <w:highlight w:val="none"/>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7057ADC">
            <w:pPr>
              <w:widowControl/>
              <w:jc w:val="left"/>
              <w:rPr>
                <w:rFonts w:cs="宋体" w:asciiTheme="minorEastAsia" w:hAnsiTheme="minorEastAsia" w:eastAsiaTheme="minorEastAsia"/>
                <w:color w:val="auto"/>
                <w:kern w:val="0"/>
                <w:sz w:val="24"/>
                <w:szCs w:val="24"/>
                <w:highlight w:val="none"/>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7FD5FFA">
            <w:pPr>
              <w:widowControl/>
              <w:jc w:val="left"/>
              <w:rPr>
                <w:rFonts w:cs="宋体" w:asciiTheme="minorEastAsia" w:hAnsiTheme="minorEastAsia" w:eastAsiaTheme="minorEastAsia"/>
                <w:color w:val="auto"/>
                <w:kern w:val="0"/>
                <w:sz w:val="24"/>
                <w:szCs w:val="24"/>
                <w:highlight w:val="none"/>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040598A">
            <w:pPr>
              <w:widowControl/>
              <w:jc w:val="left"/>
              <w:rPr>
                <w:rFonts w:cs="宋体" w:asciiTheme="minorEastAsia" w:hAnsiTheme="minorEastAsia" w:eastAsiaTheme="minorEastAsia"/>
                <w:color w:val="auto"/>
                <w:kern w:val="0"/>
                <w:sz w:val="24"/>
                <w:szCs w:val="24"/>
                <w:highlight w:val="none"/>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CC3E6BC">
            <w:pPr>
              <w:widowControl/>
              <w:jc w:val="left"/>
              <w:rPr>
                <w:rFonts w:cs="宋体" w:asciiTheme="minorEastAsia" w:hAnsiTheme="minorEastAsia" w:eastAsiaTheme="minorEastAsia"/>
                <w:color w:val="auto"/>
                <w:kern w:val="0"/>
                <w:sz w:val="24"/>
                <w:szCs w:val="24"/>
                <w:highlight w:val="none"/>
              </w:rPr>
            </w:pPr>
          </w:p>
        </w:tc>
      </w:tr>
      <w:tr w14:paraId="7B3913F5">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247"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922C11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w:t>
            </w:r>
          </w:p>
        </w:tc>
        <w:tc>
          <w:tcPr>
            <w:tcW w:w="56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67535A">
            <w:pPr>
              <w:widowControl/>
              <w:jc w:val="left"/>
              <w:rPr>
                <w:rFonts w:cs="宋体" w:asciiTheme="minorEastAsia" w:hAnsiTheme="minorEastAsia" w:eastAsiaTheme="minorEastAsia"/>
                <w:color w:val="auto"/>
                <w:kern w:val="0"/>
                <w:sz w:val="24"/>
                <w:szCs w:val="24"/>
                <w:highlight w:val="none"/>
              </w:rPr>
            </w:pPr>
          </w:p>
        </w:tc>
        <w:tc>
          <w:tcPr>
            <w:tcW w:w="91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290AACC">
            <w:pPr>
              <w:widowControl/>
              <w:jc w:val="left"/>
              <w:rPr>
                <w:rFonts w:cs="宋体" w:asciiTheme="minorEastAsia" w:hAnsiTheme="minorEastAsia" w:eastAsiaTheme="minorEastAsia"/>
                <w:color w:val="auto"/>
                <w:kern w:val="0"/>
                <w:sz w:val="24"/>
                <w:szCs w:val="24"/>
                <w:highlight w:val="none"/>
              </w:rPr>
            </w:pPr>
          </w:p>
        </w:tc>
        <w:tc>
          <w:tcPr>
            <w:tcW w:w="746"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DDA3AE2">
            <w:pPr>
              <w:widowControl/>
              <w:jc w:val="left"/>
              <w:rPr>
                <w:rFonts w:cs="宋体" w:asciiTheme="minorEastAsia" w:hAnsiTheme="minorEastAsia" w:eastAsiaTheme="minorEastAsia"/>
                <w:color w:val="auto"/>
                <w:kern w:val="0"/>
                <w:sz w:val="24"/>
                <w:szCs w:val="24"/>
                <w:highlight w:val="none"/>
              </w:rPr>
            </w:pPr>
          </w:p>
        </w:tc>
        <w:tc>
          <w:tcPr>
            <w:tcW w:w="50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59F3B1E">
            <w:pPr>
              <w:widowControl/>
              <w:jc w:val="left"/>
              <w:rPr>
                <w:rFonts w:cs="宋体" w:asciiTheme="minorEastAsia" w:hAnsiTheme="minorEastAsia" w:eastAsiaTheme="minorEastAsia"/>
                <w:color w:val="auto"/>
                <w:kern w:val="0"/>
                <w:sz w:val="24"/>
                <w:szCs w:val="24"/>
                <w:highlight w:val="none"/>
              </w:rPr>
            </w:pPr>
          </w:p>
        </w:tc>
        <w:tc>
          <w:tcPr>
            <w:tcW w:w="580"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C6C5219">
            <w:pPr>
              <w:widowControl/>
              <w:jc w:val="left"/>
              <w:rPr>
                <w:rFonts w:cs="宋体" w:asciiTheme="minorEastAsia" w:hAnsiTheme="minorEastAsia" w:eastAsiaTheme="minorEastAsia"/>
                <w:color w:val="auto"/>
                <w:kern w:val="0"/>
                <w:sz w:val="24"/>
                <w:szCs w:val="24"/>
                <w:highlight w:val="none"/>
              </w:rPr>
            </w:pPr>
          </w:p>
        </w:tc>
        <w:tc>
          <w:tcPr>
            <w:tcW w:w="334"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AE4B2E0">
            <w:pPr>
              <w:widowControl/>
              <w:jc w:val="left"/>
              <w:rPr>
                <w:rFonts w:cs="宋体" w:asciiTheme="minorEastAsia" w:hAnsiTheme="minorEastAsia" w:eastAsiaTheme="minorEastAsia"/>
                <w:color w:val="auto"/>
                <w:kern w:val="0"/>
                <w:sz w:val="24"/>
                <w:szCs w:val="24"/>
                <w:highlight w:val="none"/>
              </w:rPr>
            </w:pPr>
          </w:p>
        </w:tc>
        <w:tc>
          <w:tcPr>
            <w:tcW w:w="641"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E352833">
            <w:pPr>
              <w:widowControl/>
              <w:jc w:val="left"/>
              <w:rPr>
                <w:rFonts w:cs="宋体" w:asciiTheme="minorEastAsia" w:hAnsiTheme="minorEastAsia" w:eastAsiaTheme="minorEastAsia"/>
                <w:color w:val="auto"/>
                <w:kern w:val="0"/>
                <w:sz w:val="24"/>
                <w:szCs w:val="24"/>
                <w:highlight w:val="none"/>
              </w:rPr>
            </w:pPr>
          </w:p>
        </w:tc>
        <w:tc>
          <w:tcPr>
            <w:tcW w:w="475"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872D893">
            <w:pPr>
              <w:widowControl/>
              <w:jc w:val="left"/>
              <w:rPr>
                <w:rFonts w:cs="宋体" w:asciiTheme="minorEastAsia" w:hAnsiTheme="minorEastAsia" w:eastAsiaTheme="minorEastAsia"/>
                <w:color w:val="auto"/>
                <w:kern w:val="0"/>
                <w:sz w:val="24"/>
                <w:szCs w:val="24"/>
                <w:highlight w:val="none"/>
              </w:rPr>
            </w:pPr>
          </w:p>
        </w:tc>
      </w:tr>
    </w:tbl>
    <w:p w14:paraId="22D23CE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★注意：</w:t>
      </w:r>
    </w:p>
    <w:p w14:paraId="65044468">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、本表应按照下列规定填写：</w:t>
      </w:r>
    </w:p>
    <w:p w14:paraId="6340EA6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1.1</w:t>
      </w:r>
      <w:r>
        <w:rPr>
          <w:rFonts w:hint="eastAsia" w:cs="宋体" w:asciiTheme="minorEastAsia" w:hAnsiTheme="minorEastAsia" w:eastAsiaTheme="minorEastAsia"/>
          <w:color w:val="auto"/>
          <w:kern w:val="0"/>
          <w:szCs w:val="21"/>
          <w:highlight w:val="none"/>
        </w:rPr>
        <w:t>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”时，本表中列示的“合同包”亦应为“</w:t>
      </w:r>
      <w:r>
        <w:rPr>
          <w:rFonts w:cs="宋体" w:asciiTheme="minorEastAsia" w:hAnsiTheme="minorEastAsia" w:eastAsiaTheme="minorEastAsia"/>
          <w:color w:val="auto"/>
          <w:kern w:val="0"/>
          <w:szCs w:val="21"/>
          <w:highlight w:val="none"/>
        </w:rPr>
        <w:t>1</w:t>
      </w:r>
      <w:r>
        <w:rPr>
          <w:rFonts w:hint="eastAsia" w:cs="宋体" w:asciiTheme="minorEastAsia" w:hAnsiTheme="minorEastAsia" w:eastAsiaTheme="minorEastAsia"/>
          <w:color w:val="auto"/>
          <w:kern w:val="0"/>
          <w:szCs w:val="21"/>
          <w:highlight w:val="none"/>
        </w:rPr>
        <w:t>”，以此类推。</w:t>
      </w:r>
    </w:p>
    <w:p w14:paraId="381AA86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1.2</w:t>
      </w:r>
      <w:r>
        <w:rPr>
          <w:rFonts w:hint="eastAsia" w:cs="宋体" w:asciiTheme="minorEastAsia" w:hAnsiTheme="minorEastAsia" w:eastAsiaTheme="minorEastAsia"/>
          <w:color w:val="auto"/>
          <w:kern w:val="0"/>
          <w:szCs w:val="21"/>
          <w:highlight w:val="none"/>
        </w:rPr>
        <w:t>“投标标的”为货物的：</w:t>
      </w:r>
      <w:r>
        <w:rPr>
          <w:rFonts w:hint="eastAsia" w:cs="宋体" w:asciiTheme="minorEastAsia" w:hAnsiTheme="minorEastAsia" w:eastAsiaTheme="minorEastAsia"/>
          <w:b/>
          <w:bCs/>
          <w:color w:val="auto"/>
          <w:kern w:val="0"/>
          <w:szCs w:val="21"/>
          <w:highlight w:val="none"/>
        </w:rPr>
        <w:t>“规格”</w:t>
      </w:r>
      <w:r>
        <w:rPr>
          <w:rFonts w:hint="eastAsia" w:cs="宋体" w:asciiTheme="minorEastAsia" w:hAnsiTheme="minorEastAsia" w:eastAsiaTheme="minorEastAsia"/>
          <w:color w:val="auto"/>
          <w:kern w:val="0"/>
          <w:szCs w:val="21"/>
          <w:highlight w:val="none"/>
        </w:rPr>
        <w:t>项下应填写货物制造厂商赋予的品牌（属于节能、环保清单产品的货物，填写的品牌名称应与清单载明的品牌名称保持一致）及具体型号。</w:t>
      </w:r>
      <w:r>
        <w:rPr>
          <w:rFonts w:hint="eastAsia" w:cs="宋体" w:asciiTheme="minorEastAsia" w:hAnsiTheme="minorEastAsia" w:eastAsiaTheme="minorEastAsia"/>
          <w:b/>
          <w:bCs/>
          <w:color w:val="auto"/>
          <w:kern w:val="0"/>
          <w:szCs w:val="21"/>
          <w:highlight w:val="none"/>
        </w:rPr>
        <w:t>“来源地”</w:t>
      </w:r>
      <w:r>
        <w:rPr>
          <w:rFonts w:hint="eastAsia" w:cs="宋体" w:asciiTheme="minorEastAsia" w:hAnsiTheme="minorEastAsia" w:eastAsiaTheme="minorEastAsia"/>
          <w:color w:val="auto"/>
          <w:kern w:val="0"/>
          <w:szCs w:val="21"/>
          <w:highlight w:val="none"/>
        </w:rPr>
        <w:t>应填写货物的原产地。</w:t>
      </w:r>
    </w:p>
    <w:p w14:paraId="07FBD0C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1.3</w:t>
      </w:r>
      <w:r>
        <w:rPr>
          <w:rFonts w:hint="eastAsia" w:cs="宋体" w:asciiTheme="minorEastAsia" w:hAnsiTheme="minorEastAsia" w:eastAsiaTheme="minorEastAsia"/>
          <w:color w:val="auto"/>
          <w:kern w:val="0"/>
          <w:szCs w:val="21"/>
          <w:highlight w:val="none"/>
        </w:rPr>
        <w:t>“投标标的”为服务的：</w:t>
      </w:r>
      <w:r>
        <w:rPr>
          <w:rFonts w:hint="eastAsia" w:cs="宋体" w:asciiTheme="minorEastAsia" w:hAnsiTheme="minorEastAsia" w:eastAsiaTheme="minorEastAsia"/>
          <w:b/>
          <w:bCs/>
          <w:color w:val="auto"/>
          <w:kern w:val="0"/>
          <w:szCs w:val="21"/>
          <w:highlight w:val="none"/>
        </w:rPr>
        <w:t>“规格”</w:t>
      </w:r>
      <w:r>
        <w:rPr>
          <w:rFonts w:hint="eastAsia" w:cs="宋体" w:asciiTheme="minorEastAsia" w:hAnsiTheme="minorEastAsia" w:eastAsiaTheme="minorEastAsia"/>
          <w:color w:val="auto"/>
          <w:kern w:val="0"/>
          <w:szCs w:val="21"/>
          <w:highlight w:val="none"/>
        </w:rPr>
        <w:t>项下应填写服务提供者提供的服务标准及品牌（若有）。</w:t>
      </w:r>
      <w:r>
        <w:rPr>
          <w:rFonts w:hint="eastAsia" w:cs="宋体" w:asciiTheme="minorEastAsia" w:hAnsiTheme="minorEastAsia" w:eastAsiaTheme="minorEastAsia"/>
          <w:b/>
          <w:bCs/>
          <w:color w:val="auto"/>
          <w:kern w:val="0"/>
          <w:szCs w:val="21"/>
          <w:highlight w:val="none"/>
        </w:rPr>
        <w:t>“来源地”</w:t>
      </w:r>
      <w:r>
        <w:rPr>
          <w:rFonts w:hint="eastAsia" w:cs="宋体" w:asciiTheme="minorEastAsia" w:hAnsiTheme="minorEastAsia" w:eastAsiaTheme="minorEastAsia"/>
          <w:color w:val="auto"/>
          <w:kern w:val="0"/>
          <w:szCs w:val="21"/>
          <w:highlight w:val="none"/>
        </w:rPr>
        <w:t>应填写服务提供者的所在地。</w:t>
      </w:r>
    </w:p>
    <w:p w14:paraId="5F693E87">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1.4</w:t>
      </w:r>
      <w:r>
        <w:rPr>
          <w:rFonts w:hint="eastAsia" w:cs="宋体" w:asciiTheme="minorEastAsia" w:hAnsiTheme="minorEastAsia" w:eastAsiaTheme="minorEastAsia"/>
          <w:color w:val="auto"/>
          <w:kern w:val="0"/>
          <w:szCs w:val="21"/>
          <w:highlight w:val="none"/>
        </w:rPr>
        <w:t>同一合同包中，</w:t>
      </w:r>
      <w:r>
        <w:rPr>
          <w:rFonts w:hint="eastAsia" w:cs="宋体" w:asciiTheme="minorEastAsia" w:hAnsiTheme="minorEastAsia" w:eastAsiaTheme="minorEastAsia"/>
          <w:b/>
          <w:bCs/>
          <w:color w:val="auto"/>
          <w:kern w:val="0"/>
          <w:szCs w:val="21"/>
          <w:highlight w:val="none"/>
        </w:rPr>
        <w:t>“单价（现场）”</w:t>
      </w:r>
      <w:r>
        <w:rPr>
          <w:rFonts w:hint="eastAsia"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b/>
          <w:bCs/>
          <w:color w:val="auto"/>
          <w:kern w:val="0"/>
          <w:szCs w:val="21"/>
          <w:highlight w:val="none"/>
        </w:rPr>
        <w:t>“数量”</w:t>
      </w:r>
      <w:r>
        <w:rPr>
          <w:rFonts w:cs="宋体" w:asciiTheme="minorEastAsia" w:hAnsiTheme="minorEastAsia" w:eastAsiaTheme="minorEastAsia"/>
          <w:color w:val="auto"/>
          <w:kern w:val="0"/>
          <w:szCs w:val="21"/>
          <w:highlight w:val="none"/>
        </w:rPr>
        <w:t>=</w:t>
      </w:r>
      <w:r>
        <w:rPr>
          <w:rFonts w:hint="eastAsia" w:cs="宋体" w:asciiTheme="minorEastAsia" w:hAnsiTheme="minorEastAsia" w:eastAsiaTheme="minorEastAsia"/>
          <w:b/>
          <w:bCs/>
          <w:color w:val="auto"/>
          <w:kern w:val="0"/>
          <w:szCs w:val="21"/>
          <w:highlight w:val="none"/>
        </w:rPr>
        <w:t>“总价（现场）”</w:t>
      </w:r>
      <w:r>
        <w:rPr>
          <w:rFonts w:hint="eastAsia" w:cs="宋体" w:asciiTheme="minorEastAsia" w:hAnsiTheme="minorEastAsia" w:eastAsiaTheme="minorEastAsia"/>
          <w:color w:val="auto"/>
          <w:kern w:val="0"/>
          <w:szCs w:val="21"/>
          <w:highlight w:val="none"/>
        </w:rPr>
        <w:t>，全部品目号</w:t>
      </w:r>
      <w:r>
        <w:rPr>
          <w:rFonts w:hint="eastAsia" w:cs="宋体" w:asciiTheme="minorEastAsia" w:hAnsiTheme="minorEastAsia" w:eastAsiaTheme="minorEastAsia"/>
          <w:b/>
          <w:bCs/>
          <w:color w:val="auto"/>
          <w:kern w:val="0"/>
          <w:szCs w:val="21"/>
          <w:highlight w:val="none"/>
        </w:rPr>
        <w:t>“总价（现场）”</w:t>
      </w:r>
      <w:r>
        <w:rPr>
          <w:rFonts w:hint="eastAsia" w:cs="宋体" w:asciiTheme="minorEastAsia" w:hAnsiTheme="minorEastAsia" w:eastAsiaTheme="minorEastAsia"/>
          <w:color w:val="auto"/>
          <w:kern w:val="0"/>
          <w:szCs w:val="21"/>
          <w:highlight w:val="none"/>
        </w:rPr>
        <w:t>的合计金额应与《开标一览表》中相应合同包列示的</w:t>
      </w:r>
      <w:r>
        <w:rPr>
          <w:rFonts w:hint="eastAsia" w:cs="宋体" w:asciiTheme="minorEastAsia" w:hAnsiTheme="minorEastAsia" w:eastAsiaTheme="minorEastAsia"/>
          <w:b/>
          <w:bCs/>
          <w:color w:val="auto"/>
          <w:kern w:val="0"/>
          <w:szCs w:val="21"/>
          <w:highlight w:val="none"/>
        </w:rPr>
        <w:t>“投标总价”</w:t>
      </w:r>
      <w:r>
        <w:rPr>
          <w:rFonts w:hint="eastAsia" w:cs="宋体" w:asciiTheme="minorEastAsia" w:hAnsiTheme="minorEastAsia" w:eastAsiaTheme="minorEastAsia"/>
          <w:color w:val="auto"/>
          <w:kern w:val="0"/>
          <w:szCs w:val="21"/>
          <w:highlight w:val="none"/>
        </w:rPr>
        <w:t>保持一致。</w:t>
      </w:r>
    </w:p>
    <w:p w14:paraId="57CFD50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1.5</w:t>
      </w:r>
      <w:r>
        <w:rPr>
          <w:rFonts w:hint="eastAsia" w:cs="宋体" w:asciiTheme="minorEastAsia" w:hAnsiTheme="minorEastAsia" w:eastAsiaTheme="minorEastAsia"/>
          <w:color w:val="auto"/>
          <w:kern w:val="0"/>
          <w:szCs w:val="21"/>
          <w:highlight w:val="none"/>
        </w:rPr>
        <w:t>若招标文件要求投标人对“备品备件价格、专用工具价格、技术服务费、安装调试费、检验培训费、运输费、保险费、税收”等进行报价的，请在本表的</w:t>
      </w:r>
      <w:r>
        <w:rPr>
          <w:rFonts w:hint="eastAsia" w:cs="宋体" w:asciiTheme="minorEastAsia" w:hAnsiTheme="minorEastAsia" w:eastAsiaTheme="minorEastAsia"/>
          <w:b/>
          <w:bCs/>
          <w:color w:val="auto"/>
          <w:kern w:val="0"/>
          <w:szCs w:val="21"/>
          <w:highlight w:val="none"/>
        </w:rPr>
        <w:t>“备注”</w:t>
      </w:r>
      <w:r>
        <w:rPr>
          <w:rFonts w:hint="eastAsia" w:cs="宋体" w:asciiTheme="minorEastAsia" w:hAnsiTheme="minorEastAsia" w:eastAsiaTheme="minorEastAsia"/>
          <w:color w:val="auto"/>
          <w:kern w:val="0"/>
          <w:szCs w:val="21"/>
          <w:highlight w:val="none"/>
        </w:rPr>
        <w:t>项下填写。</w:t>
      </w:r>
    </w:p>
    <w:p w14:paraId="6D6B3E3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2</w:t>
      </w:r>
      <w:r>
        <w:rPr>
          <w:rFonts w:hint="eastAsia" w:cs="宋体" w:asciiTheme="minorEastAsia" w:hAnsiTheme="minorEastAsia" w:eastAsiaTheme="minorEastAsia"/>
          <w:color w:val="auto"/>
          <w:kern w:val="0"/>
          <w:szCs w:val="21"/>
          <w:highlight w:val="none"/>
        </w:rPr>
        <w:t>、纸质投标文件正本中的本表应为原件。</w:t>
      </w:r>
    </w:p>
    <w:p w14:paraId="7AA1D9C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Cs w:val="21"/>
          <w:highlight w:val="none"/>
        </w:rPr>
        <w:t> </w:t>
      </w:r>
    </w:p>
    <w:p w14:paraId="5CB7D86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投标人：</w:t>
      </w:r>
      <w:r>
        <w:rPr>
          <w:rFonts w:hint="eastAsia" w:cs="宋体" w:asciiTheme="minorEastAsia" w:hAnsiTheme="minorEastAsia" w:eastAsiaTheme="minorEastAsia"/>
          <w:color w:val="auto"/>
          <w:kern w:val="0"/>
          <w:szCs w:val="21"/>
          <w:highlight w:val="none"/>
          <w:u w:val="single"/>
        </w:rPr>
        <w:t>（全称并加盖单位公章）</w:t>
      </w:r>
    </w:p>
    <w:p w14:paraId="56D603D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投标人代表签字：</w:t>
      </w:r>
      <w:r>
        <w:rPr>
          <w:rFonts w:cs="宋体" w:asciiTheme="minorEastAsia" w:hAnsiTheme="minorEastAsia" w:eastAsiaTheme="minorEastAsia"/>
          <w:color w:val="auto"/>
          <w:kern w:val="0"/>
          <w:szCs w:val="21"/>
          <w:highlight w:val="none"/>
          <w:u w:val="single"/>
        </w:rPr>
        <w:t>                   </w:t>
      </w:r>
    </w:p>
    <w:p w14:paraId="5FA8D807">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Cs w:val="21"/>
          <w:highlight w:val="none"/>
        </w:rPr>
        <w:t>日期：</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年</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月</w:t>
      </w:r>
      <w:r>
        <w:rPr>
          <w:rFonts w:cs="宋体" w:asciiTheme="minorEastAsia" w:hAnsiTheme="minorEastAsia" w:eastAsiaTheme="minorEastAsia"/>
          <w:color w:val="auto"/>
          <w:kern w:val="0"/>
          <w:szCs w:val="21"/>
          <w:highlight w:val="none"/>
          <w:u w:val="single"/>
        </w:rPr>
        <w:t>   </w:t>
      </w:r>
      <w:r>
        <w:rPr>
          <w:rFonts w:hint="eastAsia" w:cs="宋体" w:asciiTheme="minorEastAsia" w:hAnsiTheme="minorEastAsia" w:eastAsiaTheme="minorEastAsia"/>
          <w:color w:val="auto"/>
          <w:kern w:val="0"/>
          <w:szCs w:val="21"/>
          <w:highlight w:val="none"/>
        </w:rPr>
        <w:t>日</w:t>
      </w:r>
    </w:p>
    <w:p w14:paraId="36E537E4">
      <w:pPr>
        <w:pStyle w:val="500"/>
        <w:ind w:firstLine="210"/>
        <w:jc w:val="center"/>
        <w:rPr>
          <w:rFonts w:hint="default" w:asciiTheme="minorEastAsia" w:hAnsiTheme="minorEastAsia" w:cstheme="minorEastAsia"/>
          <w:color w:val="auto"/>
          <w:sz w:val="24"/>
          <w:szCs w:val="24"/>
          <w:highlight w:val="none"/>
        </w:rPr>
      </w:pPr>
      <w:r>
        <w:rPr>
          <w:rFonts w:cs="宋体" w:asciiTheme="minorEastAsia" w:hAnsiTheme="minorEastAsia"/>
          <w:color w:val="auto"/>
          <w:szCs w:val="21"/>
          <w:highlight w:val="none"/>
        </w:rPr>
        <w:t> </w:t>
      </w:r>
      <w:r>
        <w:rPr>
          <w:rFonts w:asciiTheme="minorEastAsia" w:hAnsiTheme="minorEastAsia" w:cstheme="minorEastAsia"/>
          <w:b/>
          <w:color w:val="auto"/>
          <w:sz w:val="24"/>
          <w:szCs w:val="24"/>
          <w:highlight w:val="none"/>
        </w:rPr>
        <w:t>三、招标文件规定的价格扣除证明材料（若有）</w:t>
      </w:r>
    </w:p>
    <w:p w14:paraId="401F6941">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三-1优先类节能产品、环境标志产品价格扣除证明材料（若有）</w:t>
      </w:r>
    </w:p>
    <w:p w14:paraId="19DFF76A">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三-1-①优先类节能产品、环境标志产品统计表（价格扣除适用，若有）</w:t>
      </w:r>
    </w:p>
    <w:p w14:paraId="6B6D377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single"/>
        </w:rPr>
        <w:t>　　　　　　　　</w:t>
      </w:r>
    </w:p>
    <w:p w14:paraId="7A1C2353">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货币及单位：人民币元</w:t>
      </w:r>
    </w:p>
    <w:tbl>
      <w:tblPr>
        <w:tblStyle w:val="5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68C72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449C218">
            <w:pPr>
              <w:rPr>
                <w:rFonts w:asciiTheme="minorEastAsia" w:hAnsiTheme="minorEastAsia" w:eastAsiaTheme="minorEastAsia" w:cstheme="minorEastAsia"/>
                <w:color w:val="auto"/>
                <w:sz w:val="24"/>
                <w:szCs w:val="24"/>
                <w:highlight w:val="none"/>
              </w:rPr>
            </w:pPr>
          </w:p>
        </w:tc>
        <w:tc>
          <w:tcPr>
            <w:tcW w:w="7122" w:type="dxa"/>
            <w:gridSpan w:val="6"/>
          </w:tcPr>
          <w:p w14:paraId="382A1B2F">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本采购包内属于节能、环境标志产品的情况</w:t>
            </w:r>
          </w:p>
        </w:tc>
      </w:tr>
      <w:tr w14:paraId="1D32B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87E83FA">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采购包</w:t>
            </w:r>
          </w:p>
        </w:tc>
        <w:tc>
          <w:tcPr>
            <w:tcW w:w="1187" w:type="dxa"/>
          </w:tcPr>
          <w:p w14:paraId="6FD8E959">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品目号</w:t>
            </w:r>
          </w:p>
        </w:tc>
        <w:tc>
          <w:tcPr>
            <w:tcW w:w="1187" w:type="dxa"/>
          </w:tcPr>
          <w:p w14:paraId="130EBD4D">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货物名称</w:t>
            </w:r>
          </w:p>
        </w:tc>
        <w:tc>
          <w:tcPr>
            <w:tcW w:w="1187" w:type="dxa"/>
          </w:tcPr>
          <w:p w14:paraId="5A7B8BDC">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单价（现场）</w:t>
            </w:r>
          </w:p>
        </w:tc>
        <w:tc>
          <w:tcPr>
            <w:tcW w:w="1187" w:type="dxa"/>
          </w:tcPr>
          <w:p w14:paraId="073A170C">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数量</w:t>
            </w:r>
          </w:p>
        </w:tc>
        <w:tc>
          <w:tcPr>
            <w:tcW w:w="1187" w:type="dxa"/>
          </w:tcPr>
          <w:p w14:paraId="40D8277C">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总价（现场）</w:t>
            </w:r>
          </w:p>
        </w:tc>
        <w:tc>
          <w:tcPr>
            <w:tcW w:w="1187" w:type="dxa"/>
          </w:tcPr>
          <w:p w14:paraId="4E972164">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认证种类</w:t>
            </w:r>
          </w:p>
        </w:tc>
      </w:tr>
      <w:tr w14:paraId="0FB71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1372164E">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187" w:type="dxa"/>
          </w:tcPr>
          <w:p w14:paraId="3CB9C55D">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187" w:type="dxa"/>
          </w:tcPr>
          <w:p w14:paraId="5189FC57">
            <w:pPr>
              <w:rPr>
                <w:rFonts w:asciiTheme="minorEastAsia" w:hAnsiTheme="minorEastAsia" w:eastAsiaTheme="minorEastAsia" w:cstheme="minorEastAsia"/>
                <w:color w:val="auto"/>
                <w:sz w:val="24"/>
                <w:szCs w:val="24"/>
                <w:highlight w:val="none"/>
              </w:rPr>
            </w:pPr>
          </w:p>
        </w:tc>
        <w:tc>
          <w:tcPr>
            <w:tcW w:w="1187" w:type="dxa"/>
          </w:tcPr>
          <w:p w14:paraId="1F9ABE64">
            <w:pPr>
              <w:rPr>
                <w:rFonts w:asciiTheme="minorEastAsia" w:hAnsiTheme="minorEastAsia" w:eastAsiaTheme="minorEastAsia" w:cstheme="minorEastAsia"/>
                <w:color w:val="auto"/>
                <w:sz w:val="24"/>
                <w:szCs w:val="24"/>
                <w:highlight w:val="none"/>
              </w:rPr>
            </w:pPr>
          </w:p>
        </w:tc>
        <w:tc>
          <w:tcPr>
            <w:tcW w:w="1187" w:type="dxa"/>
          </w:tcPr>
          <w:p w14:paraId="37561202">
            <w:pPr>
              <w:rPr>
                <w:rFonts w:asciiTheme="minorEastAsia" w:hAnsiTheme="minorEastAsia" w:eastAsiaTheme="minorEastAsia" w:cstheme="minorEastAsia"/>
                <w:color w:val="auto"/>
                <w:sz w:val="24"/>
                <w:szCs w:val="24"/>
                <w:highlight w:val="none"/>
              </w:rPr>
            </w:pPr>
          </w:p>
        </w:tc>
        <w:tc>
          <w:tcPr>
            <w:tcW w:w="1187" w:type="dxa"/>
          </w:tcPr>
          <w:p w14:paraId="2D6520E4">
            <w:pPr>
              <w:rPr>
                <w:rFonts w:asciiTheme="minorEastAsia" w:hAnsiTheme="minorEastAsia" w:eastAsiaTheme="minorEastAsia" w:cstheme="minorEastAsia"/>
                <w:color w:val="auto"/>
                <w:sz w:val="24"/>
                <w:szCs w:val="24"/>
                <w:highlight w:val="none"/>
              </w:rPr>
            </w:pPr>
          </w:p>
        </w:tc>
        <w:tc>
          <w:tcPr>
            <w:tcW w:w="1187" w:type="dxa"/>
          </w:tcPr>
          <w:p w14:paraId="60C2EF7B">
            <w:pPr>
              <w:rPr>
                <w:rFonts w:asciiTheme="minorEastAsia" w:hAnsiTheme="minorEastAsia" w:eastAsiaTheme="minorEastAsia" w:cstheme="minorEastAsia"/>
                <w:color w:val="auto"/>
                <w:sz w:val="24"/>
                <w:szCs w:val="24"/>
                <w:highlight w:val="none"/>
              </w:rPr>
            </w:pPr>
          </w:p>
        </w:tc>
      </w:tr>
      <w:tr w14:paraId="6004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5167B9AB">
            <w:pPr>
              <w:rPr>
                <w:rFonts w:asciiTheme="minorEastAsia" w:hAnsiTheme="minorEastAsia" w:eastAsiaTheme="minorEastAsia" w:cstheme="minorEastAsia"/>
                <w:color w:val="auto"/>
                <w:sz w:val="24"/>
                <w:szCs w:val="24"/>
                <w:highlight w:val="none"/>
              </w:rPr>
            </w:pPr>
          </w:p>
        </w:tc>
        <w:tc>
          <w:tcPr>
            <w:tcW w:w="1187" w:type="dxa"/>
          </w:tcPr>
          <w:p w14:paraId="6E5363D1">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187" w:type="dxa"/>
          </w:tcPr>
          <w:p w14:paraId="76BAD54B">
            <w:pPr>
              <w:rPr>
                <w:rFonts w:asciiTheme="minorEastAsia" w:hAnsiTheme="minorEastAsia" w:eastAsiaTheme="minorEastAsia" w:cstheme="minorEastAsia"/>
                <w:color w:val="auto"/>
                <w:sz w:val="24"/>
                <w:szCs w:val="24"/>
                <w:highlight w:val="none"/>
              </w:rPr>
            </w:pPr>
          </w:p>
        </w:tc>
        <w:tc>
          <w:tcPr>
            <w:tcW w:w="1187" w:type="dxa"/>
          </w:tcPr>
          <w:p w14:paraId="12AE5852">
            <w:pPr>
              <w:rPr>
                <w:rFonts w:asciiTheme="minorEastAsia" w:hAnsiTheme="minorEastAsia" w:eastAsiaTheme="minorEastAsia" w:cstheme="minorEastAsia"/>
                <w:color w:val="auto"/>
                <w:sz w:val="24"/>
                <w:szCs w:val="24"/>
                <w:highlight w:val="none"/>
              </w:rPr>
            </w:pPr>
          </w:p>
        </w:tc>
        <w:tc>
          <w:tcPr>
            <w:tcW w:w="1187" w:type="dxa"/>
          </w:tcPr>
          <w:p w14:paraId="620AFE58">
            <w:pPr>
              <w:rPr>
                <w:rFonts w:asciiTheme="minorEastAsia" w:hAnsiTheme="minorEastAsia" w:eastAsiaTheme="minorEastAsia" w:cstheme="minorEastAsia"/>
                <w:color w:val="auto"/>
                <w:sz w:val="24"/>
                <w:szCs w:val="24"/>
                <w:highlight w:val="none"/>
              </w:rPr>
            </w:pPr>
          </w:p>
        </w:tc>
        <w:tc>
          <w:tcPr>
            <w:tcW w:w="1187" w:type="dxa"/>
          </w:tcPr>
          <w:p w14:paraId="606A6B21">
            <w:pPr>
              <w:rPr>
                <w:rFonts w:asciiTheme="minorEastAsia" w:hAnsiTheme="minorEastAsia" w:eastAsiaTheme="minorEastAsia" w:cstheme="minorEastAsia"/>
                <w:color w:val="auto"/>
                <w:sz w:val="24"/>
                <w:szCs w:val="24"/>
                <w:highlight w:val="none"/>
              </w:rPr>
            </w:pPr>
          </w:p>
        </w:tc>
        <w:tc>
          <w:tcPr>
            <w:tcW w:w="1187" w:type="dxa"/>
          </w:tcPr>
          <w:p w14:paraId="26EE07F2">
            <w:pPr>
              <w:rPr>
                <w:rFonts w:asciiTheme="minorEastAsia" w:hAnsiTheme="minorEastAsia" w:eastAsiaTheme="minorEastAsia" w:cstheme="minorEastAsia"/>
                <w:color w:val="auto"/>
                <w:sz w:val="24"/>
                <w:szCs w:val="24"/>
                <w:highlight w:val="none"/>
              </w:rPr>
            </w:pPr>
          </w:p>
        </w:tc>
      </w:tr>
      <w:tr w14:paraId="5B185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98CEE41">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tc>
        <w:tc>
          <w:tcPr>
            <w:tcW w:w="7122" w:type="dxa"/>
            <w:gridSpan w:val="6"/>
          </w:tcPr>
          <w:p w14:paraId="6697A55B">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a.采购包内属于节能、环境标志产品的报价总金额：</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w:t>
            </w:r>
          </w:p>
          <w:p w14:paraId="05F447CB">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b.采购包投标总价（报价总金额）：</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w:t>
            </w:r>
          </w:p>
          <w:p w14:paraId="47DEADB6">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c.“采购包内属于节能、环境标志产品的报价总金额”占“采购包投标总价（报价总金额）”的比例（以%列示）：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w:t>
            </w:r>
          </w:p>
        </w:tc>
      </w:tr>
    </w:tbl>
    <w:p w14:paraId="7D26526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0D50F407">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1、对节能、环境标志产品计算价格扣除时，只依据电子投标文件“三-1-②优先类节能产品、环境标志产品证明材料（价格扣除适用，若有）”。</w:t>
      </w:r>
    </w:p>
    <w:p w14:paraId="68DA757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2、本表以采购包为单位，不同采购包请分别填写；同一采购包请按照其品目号顺序分别填写。</w:t>
      </w:r>
    </w:p>
    <w:p w14:paraId="07B1D78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3、具体统计、计算：</w:t>
      </w:r>
    </w:p>
    <w:p w14:paraId="6CC33329">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3.1若节能、环境标志产品仅是构成投标产品的部件、组件或零件，则该投标产品不享受鼓励优惠政策。同一品目中各认证证书不重复计算价格扣除。强制类节能产品不享受价格扣除。</w:t>
      </w:r>
    </w:p>
    <w:p w14:paraId="0946E08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3.2计算结果若除不尽，可四舍五入保留到小数点后两位。</w:t>
      </w:r>
    </w:p>
    <w:p w14:paraId="38B298E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3.3投标人应按照招标文件要求认真统计、计算，否则评标委员会不予认定。</w:t>
      </w:r>
    </w:p>
    <w:p w14:paraId="064DCA1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3.4若无节能、环境标志产品，不填写本表，否则，视为提供虚假材料。</w:t>
      </w:r>
    </w:p>
    <w:p w14:paraId="1C7A8D2B">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50505DC9">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7E1A8BDA">
      <w:pPr>
        <w:widowControl/>
        <w:rPr>
          <w:rFonts w:asciiTheme="minorEastAsia" w:hAnsiTheme="minorEastAsia" w:eastAsiaTheme="minorEastAsia" w:cstheme="minorEastAsia"/>
          <w:color w:val="auto"/>
          <w:kern w:val="0"/>
          <w:sz w:val="24"/>
          <w:szCs w:val="24"/>
          <w:highlight w:val="none"/>
        </w:rPr>
      </w:pPr>
    </w:p>
    <w:p w14:paraId="76A5EA79">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三-1-②优先类节能产品、环境标志产品证明材料（价格扣除适用，若有）</w:t>
      </w:r>
    </w:p>
    <w:p w14:paraId="2069EA72">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三-2小型、微型企业产品等价格扣除证明材料（若有）</w:t>
      </w:r>
    </w:p>
    <w:p w14:paraId="0FFD647B">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三-2-①中小企业声明函（价格扣除适用，若有）</w:t>
      </w:r>
    </w:p>
    <w:p w14:paraId="618AF157">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中小企业声明函（货物）</w:t>
      </w:r>
    </w:p>
    <w:p w14:paraId="783DD55D">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 xml:space="preserve"> 号）的规定，本公司（联合体）参加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采购活动，提供的货物全部由符合政策要求的中小企业制造。相关企业（含联合体中的中小企业、签订分包意向协议的中小企业）的具体情况如下：</w:t>
      </w:r>
    </w:p>
    <w:p w14:paraId="7DC567E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w:t>
      </w:r>
      <w:r>
        <w:rPr>
          <w:rFonts w:hint="eastAsia" w:asciiTheme="minorEastAsia" w:hAnsiTheme="minorEastAsia" w:eastAsiaTheme="minorEastAsia" w:cstheme="minorEastAsia"/>
          <w:color w:val="auto"/>
          <w:kern w:val="0"/>
          <w:sz w:val="24"/>
          <w:szCs w:val="24"/>
          <w:highlight w:val="none"/>
          <w:vertAlign w:val="superscript"/>
        </w:rPr>
        <w:t>1</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786C78F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4489EC1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7B93E97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14:paraId="1A6E36D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本企业对上述声明内容的真实性负责。如有虚假，将依法承担相应责任。</w:t>
      </w:r>
    </w:p>
    <w:p w14:paraId="37F614E2">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31AEBFC1">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461BB347">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7625D9B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14:paraId="06A7E58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BEC3D24">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3E05E52">
      <w:pPr>
        <w:widowControl/>
        <w:rPr>
          <w:rFonts w:asciiTheme="minorEastAsia" w:hAnsiTheme="minorEastAsia" w:eastAsiaTheme="minorEastAsia" w:cstheme="minorEastAsia"/>
          <w:color w:val="auto"/>
          <w:kern w:val="0"/>
          <w:sz w:val="24"/>
          <w:szCs w:val="24"/>
          <w:highlight w:val="none"/>
        </w:rPr>
      </w:pPr>
    </w:p>
    <w:p w14:paraId="12536CDB">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中小企业声明函（工程、服务）</w:t>
      </w:r>
    </w:p>
    <w:p w14:paraId="49E45F69">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 xml:space="preserve"> 号）的规定，本公司（联合体）参加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DDED0B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；承建（承接）企业为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w:t>
      </w:r>
      <w:r>
        <w:rPr>
          <w:rFonts w:hint="eastAsia" w:asciiTheme="minorEastAsia" w:hAnsiTheme="minorEastAsia" w:eastAsiaTheme="minorEastAsia" w:cstheme="minorEastAsia"/>
          <w:color w:val="auto"/>
          <w:kern w:val="0"/>
          <w:sz w:val="24"/>
          <w:szCs w:val="24"/>
          <w:highlight w:val="none"/>
          <w:vertAlign w:val="superscript"/>
        </w:rPr>
        <w:t>1</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56F56F1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；承建（承接）企业为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65AA38A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48F0DE6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14:paraId="2244019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本企业对上述声明内容的真实性负责。如有虚假，将依法承担相应责任。</w:t>
      </w:r>
    </w:p>
    <w:p w14:paraId="11D737E1">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46CB40BD">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0AB38EF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46FC71DF">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14:paraId="55CF5EA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D0FF4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F684061">
      <w:pPr>
        <w:widowControl/>
        <w:rPr>
          <w:rFonts w:asciiTheme="minorEastAsia" w:hAnsiTheme="minorEastAsia" w:eastAsiaTheme="minorEastAsia" w:cstheme="minorEastAsia"/>
          <w:color w:val="auto"/>
          <w:kern w:val="0"/>
          <w:sz w:val="24"/>
          <w:szCs w:val="24"/>
          <w:highlight w:val="none"/>
        </w:rPr>
      </w:pPr>
    </w:p>
    <w:p w14:paraId="190793CF">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三-2-②小型、微型企业等证明材料（价格扣除适用，若有）</w:t>
      </w:r>
    </w:p>
    <w:p w14:paraId="4DA0B7FD">
      <w:pPr>
        <w:widowControl/>
        <w:ind w:firstLine="48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编制说明</w:t>
      </w:r>
    </w:p>
    <w:p w14:paraId="243021A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1、投标人应按照招标文件要求提供相应证明材料，证明材料应与《中小企业声明函》的内容相一致，否则视为《中小企业声明函》内容不真实。</w:t>
      </w:r>
    </w:p>
    <w:p w14:paraId="7487C927">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2、投标人为监狱企业的，根据其提供的由省级以上监狱管理局、戒毒管理局（含新疆生产建设兵团）出具的属于监狱企业的证明文件进行认定，监狱企业视同小型、微型企业。</w:t>
      </w:r>
    </w:p>
    <w:p w14:paraId="48FECFA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3、投标人为残疾人福利性单位的，根据其提供的《残疾人福利性单位声明函》（格式附后）进行认定，残疾人福利性单位视同小型、微型企业。残疾人福利性单位属于小型、微型企业的，不重复享受政策。</w:t>
      </w:r>
    </w:p>
    <w:p w14:paraId="724288F7">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w:t>
      </w:r>
    </w:p>
    <w:p w14:paraId="1E1CD60F">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残疾人福利性单位声明函（价格扣除适用，若有）</w:t>
      </w:r>
    </w:p>
    <w:p w14:paraId="34F2700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本投标人郑重声明，根据《财政部 民政部</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1264B90">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ab/>
      </w:r>
      <w:r>
        <w:rPr>
          <w:rFonts w:hint="eastAsia" w:asciiTheme="minorEastAsia" w:hAnsiTheme="minorEastAsia" w:eastAsiaTheme="minorEastAsia" w:cstheme="minorEastAsia"/>
          <w:color w:val="auto"/>
          <w:kern w:val="0"/>
          <w:sz w:val="24"/>
          <w:szCs w:val="24"/>
          <w:highlight w:val="none"/>
        </w:rP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05530A0">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）由本投标人承建的（填写“所投采购包、品目号”）工程</w:t>
      </w:r>
    </w:p>
    <w:p w14:paraId="3CAF15D3">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）由本投标人承接的（填写“所投采购包、品目号”）服务；</w:t>
      </w:r>
    </w:p>
    <w:p w14:paraId="6D44340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本投标人对上述声明的真实性负责。如有虚假，将依法承担相应责任。</w:t>
      </w:r>
    </w:p>
    <w:p w14:paraId="0DFA382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p w14:paraId="04B565E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1、请投标人按照实际情况编制填写本声明函，并在相应的（）中打“√”。</w:t>
      </w:r>
    </w:p>
    <w:p w14:paraId="5FACBD9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2、若《残疾人福利性单位声明函》内容不真实，视为提供虚假材料。</w:t>
      </w:r>
    </w:p>
    <w:p w14:paraId="54A9F193">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3C7A1477">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3DF2DB75">
      <w:pPr>
        <w:widowControl/>
        <w:rPr>
          <w:rFonts w:asciiTheme="minorEastAsia" w:hAnsiTheme="minorEastAsia" w:eastAsiaTheme="minorEastAsia" w:cstheme="minorEastAsia"/>
          <w:color w:val="auto"/>
          <w:kern w:val="0"/>
          <w:sz w:val="24"/>
          <w:szCs w:val="24"/>
          <w:highlight w:val="none"/>
        </w:rPr>
      </w:pPr>
    </w:p>
    <w:p w14:paraId="185FAD8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w:t>
      </w:r>
    </w:p>
    <w:p w14:paraId="3B841707">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监狱企业证明材料</w:t>
      </w:r>
    </w:p>
    <w:p w14:paraId="1C98CF5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05538CAE">
      <w:pPr>
        <w:widowControl/>
        <w:rPr>
          <w:rFonts w:asciiTheme="minorEastAsia" w:hAnsiTheme="minorEastAsia" w:eastAsiaTheme="minorEastAsia" w:cstheme="minorEastAsia"/>
          <w:color w:val="auto"/>
          <w:kern w:val="0"/>
          <w:sz w:val="24"/>
          <w:szCs w:val="24"/>
          <w:highlight w:val="none"/>
        </w:rPr>
      </w:pPr>
    </w:p>
    <w:p w14:paraId="4CC0108D">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三-3招标文件规定的其他价格扣除证明材料（若有）</w:t>
      </w:r>
    </w:p>
    <w:p w14:paraId="4F6D9F2E">
      <w:pPr>
        <w:widowControl/>
        <w:ind w:firstLine="48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编制说明</w:t>
      </w:r>
    </w:p>
    <w:p w14:paraId="35457CF7">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若投标人可享受招标文件规定的除“节能（非强制类）、环境标志产品价格扣除”及“小型、微型企业产品等价格扣除”外的其他价格扣除优惠，则投标人应按照招标文件要求提供相应证明材料。</w:t>
      </w:r>
    </w:p>
    <w:p w14:paraId="620AD78D">
      <w:pPr>
        <w:widowControl/>
        <w:rPr>
          <w:rFonts w:asciiTheme="minorEastAsia" w:hAnsiTheme="minorEastAsia" w:eastAsiaTheme="minorEastAsia" w:cstheme="minorEastAsia"/>
          <w:color w:val="auto"/>
          <w:kern w:val="0"/>
          <w:sz w:val="24"/>
          <w:szCs w:val="24"/>
          <w:highlight w:val="none"/>
        </w:rPr>
      </w:pPr>
    </w:p>
    <w:p w14:paraId="0BE3EF61">
      <w:pPr>
        <w:widowControl/>
        <w:rPr>
          <w:rFonts w:asciiTheme="minorEastAsia" w:hAnsiTheme="minorEastAsia" w:eastAsiaTheme="minorEastAsia" w:cstheme="minorEastAsia"/>
          <w:color w:val="auto"/>
          <w:kern w:val="0"/>
          <w:sz w:val="24"/>
          <w:szCs w:val="24"/>
          <w:highlight w:val="none"/>
        </w:rPr>
      </w:pPr>
    </w:p>
    <w:p w14:paraId="15C3951E">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四、招标文件规定的加分证明材料（若有）</w:t>
      </w:r>
    </w:p>
    <w:p w14:paraId="66D285DF">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四-1优先类节能产品、环境标志产品加分证明材料（若有）</w:t>
      </w:r>
    </w:p>
    <w:p w14:paraId="465CEC1A">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四-1-①优先类节能产品、环境标志产品统计表（加分适用，若有）</w:t>
      </w:r>
    </w:p>
    <w:p w14:paraId="3DB8350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r>
        <w:rPr>
          <w:rFonts w:hint="eastAsia" w:asciiTheme="minorEastAsia" w:hAnsiTheme="minorEastAsia" w:eastAsiaTheme="minorEastAsia" w:cstheme="minorEastAsia"/>
          <w:color w:val="auto"/>
          <w:kern w:val="0"/>
          <w:sz w:val="24"/>
          <w:szCs w:val="24"/>
          <w:highlight w:val="none"/>
          <w:u w:val="single"/>
        </w:rPr>
        <w:t>　　　　　　　　</w:t>
      </w:r>
    </w:p>
    <w:p w14:paraId="7CFE96BD">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货币及单位：人民币元</w:t>
      </w:r>
    </w:p>
    <w:tbl>
      <w:tblPr>
        <w:tblStyle w:val="5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C62E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15641D">
            <w:pPr>
              <w:rPr>
                <w:rFonts w:asciiTheme="minorEastAsia" w:hAnsiTheme="minorEastAsia" w:eastAsiaTheme="minorEastAsia" w:cstheme="minorEastAsia"/>
                <w:color w:val="auto"/>
                <w:sz w:val="24"/>
                <w:szCs w:val="24"/>
                <w:highlight w:val="none"/>
              </w:rPr>
            </w:pPr>
          </w:p>
        </w:tc>
        <w:tc>
          <w:tcPr>
            <w:tcW w:w="7122" w:type="dxa"/>
            <w:gridSpan w:val="6"/>
          </w:tcPr>
          <w:p w14:paraId="3993C291">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本采购包内属于节能、环境标志产品的情况</w:t>
            </w:r>
          </w:p>
        </w:tc>
      </w:tr>
      <w:tr w14:paraId="6DCDC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5B0EB9">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采购包</w:t>
            </w:r>
          </w:p>
        </w:tc>
        <w:tc>
          <w:tcPr>
            <w:tcW w:w="1187" w:type="dxa"/>
          </w:tcPr>
          <w:p w14:paraId="56E66BA0">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品目号</w:t>
            </w:r>
          </w:p>
        </w:tc>
        <w:tc>
          <w:tcPr>
            <w:tcW w:w="1187" w:type="dxa"/>
          </w:tcPr>
          <w:p w14:paraId="5E14A049">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货物名称</w:t>
            </w:r>
          </w:p>
        </w:tc>
        <w:tc>
          <w:tcPr>
            <w:tcW w:w="1187" w:type="dxa"/>
          </w:tcPr>
          <w:p w14:paraId="6F1E9896">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单价（现场）</w:t>
            </w:r>
          </w:p>
        </w:tc>
        <w:tc>
          <w:tcPr>
            <w:tcW w:w="1187" w:type="dxa"/>
          </w:tcPr>
          <w:p w14:paraId="3D690437">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数量</w:t>
            </w:r>
          </w:p>
        </w:tc>
        <w:tc>
          <w:tcPr>
            <w:tcW w:w="1187" w:type="dxa"/>
          </w:tcPr>
          <w:p w14:paraId="7EBDA2C9">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总价（现场）</w:t>
            </w:r>
          </w:p>
        </w:tc>
        <w:tc>
          <w:tcPr>
            <w:tcW w:w="1187" w:type="dxa"/>
          </w:tcPr>
          <w:p w14:paraId="574FE645">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认证种类</w:t>
            </w:r>
          </w:p>
        </w:tc>
      </w:tr>
      <w:tr w14:paraId="63EF1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2C195D48">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187" w:type="dxa"/>
          </w:tcPr>
          <w:p w14:paraId="45EB74AA">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187" w:type="dxa"/>
          </w:tcPr>
          <w:p w14:paraId="3B7A68E8">
            <w:pPr>
              <w:rPr>
                <w:rFonts w:asciiTheme="minorEastAsia" w:hAnsiTheme="minorEastAsia" w:eastAsiaTheme="minorEastAsia" w:cstheme="minorEastAsia"/>
                <w:color w:val="auto"/>
                <w:sz w:val="24"/>
                <w:szCs w:val="24"/>
                <w:highlight w:val="none"/>
              </w:rPr>
            </w:pPr>
          </w:p>
        </w:tc>
        <w:tc>
          <w:tcPr>
            <w:tcW w:w="1187" w:type="dxa"/>
          </w:tcPr>
          <w:p w14:paraId="19BC5DE9">
            <w:pPr>
              <w:rPr>
                <w:rFonts w:asciiTheme="minorEastAsia" w:hAnsiTheme="minorEastAsia" w:eastAsiaTheme="minorEastAsia" w:cstheme="minorEastAsia"/>
                <w:color w:val="auto"/>
                <w:sz w:val="24"/>
                <w:szCs w:val="24"/>
                <w:highlight w:val="none"/>
              </w:rPr>
            </w:pPr>
          </w:p>
        </w:tc>
        <w:tc>
          <w:tcPr>
            <w:tcW w:w="1187" w:type="dxa"/>
          </w:tcPr>
          <w:p w14:paraId="35B918F6">
            <w:pPr>
              <w:rPr>
                <w:rFonts w:asciiTheme="minorEastAsia" w:hAnsiTheme="minorEastAsia" w:eastAsiaTheme="minorEastAsia" w:cstheme="minorEastAsia"/>
                <w:color w:val="auto"/>
                <w:sz w:val="24"/>
                <w:szCs w:val="24"/>
                <w:highlight w:val="none"/>
              </w:rPr>
            </w:pPr>
          </w:p>
        </w:tc>
        <w:tc>
          <w:tcPr>
            <w:tcW w:w="1187" w:type="dxa"/>
          </w:tcPr>
          <w:p w14:paraId="1C4F6AC7">
            <w:pPr>
              <w:rPr>
                <w:rFonts w:asciiTheme="minorEastAsia" w:hAnsiTheme="minorEastAsia" w:eastAsiaTheme="minorEastAsia" w:cstheme="minorEastAsia"/>
                <w:color w:val="auto"/>
                <w:sz w:val="24"/>
                <w:szCs w:val="24"/>
                <w:highlight w:val="none"/>
              </w:rPr>
            </w:pPr>
          </w:p>
        </w:tc>
        <w:tc>
          <w:tcPr>
            <w:tcW w:w="1187" w:type="dxa"/>
          </w:tcPr>
          <w:p w14:paraId="1644E344">
            <w:pPr>
              <w:rPr>
                <w:rFonts w:asciiTheme="minorEastAsia" w:hAnsiTheme="minorEastAsia" w:eastAsiaTheme="minorEastAsia" w:cstheme="minorEastAsia"/>
                <w:color w:val="auto"/>
                <w:sz w:val="24"/>
                <w:szCs w:val="24"/>
                <w:highlight w:val="none"/>
              </w:rPr>
            </w:pPr>
          </w:p>
        </w:tc>
      </w:tr>
      <w:tr w14:paraId="282A7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733B9500">
            <w:pPr>
              <w:rPr>
                <w:rFonts w:asciiTheme="minorEastAsia" w:hAnsiTheme="minorEastAsia" w:eastAsiaTheme="minorEastAsia" w:cstheme="minorEastAsia"/>
                <w:color w:val="auto"/>
                <w:sz w:val="24"/>
                <w:szCs w:val="24"/>
                <w:highlight w:val="none"/>
              </w:rPr>
            </w:pPr>
          </w:p>
        </w:tc>
        <w:tc>
          <w:tcPr>
            <w:tcW w:w="1187" w:type="dxa"/>
          </w:tcPr>
          <w:p w14:paraId="4F3BC117">
            <w:pPr>
              <w:widowControl/>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tc>
        <w:tc>
          <w:tcPr>
            <w:tcW w:w="1187" w:type="dxa"/>
          </w:tcPr>
          <w:p w14:paraId="659BEC96">
            <w:pPr>
              <w:rPr>
                <w:rFonts w:asciiTheme="minorEastAsia" w:hAnsiTheme="minorEastAsia" w:eastAsiaTheme="minorEastAsia" w:cstheme="minorEastAsia"/>
                <w:color w:val="auto"/>
                <w:sz w:val="24"/>
                <w:szCs w:val="24"/>
                <w:highlight w:val="none"/>
              </w:rPr>
            </w:pPr>
          </w:p>
        </w:tc>
        <w:tc>
          <w:tcPr>
            <w:tcW w:w="1187" w:type="dxa"/>
          </w:tcPr>
          <w:p w14:paraId="3D5463DB">
            <w:pPr>
              <w:rPr>
                <w:rFonts w:asciiTheme="minorEastAsia" w:hAnsiTheme="minorEastAsia" w:eastAsiaTheme="minorEastAsia" w:cstheme="minorEastAsia"/>
                <w:color w:val="auto"/>
                <w:sz w:val="24"/>
                <w:szCs w:val="24"/>
                <w:highlight w:val="none"/>
              </w:rPr>
            </w:pPr>
          </w:p>
        </w:tc>
        <w:tc>
          <w:tcPr>
            <w:tcW w:w="1187" w:type="dxa"/>
          </w:tcPr>
          <w:p w14:paraId="7CE84288">
            <w:pPr>
              <w:rPr>
                <w:rFonts w:asciiTheme="minorEastAsia" w:hAnsiTheme="minorEastAsia" w:eastAsiaTheme="minorEastAsia" w:cstheme="minorEastAsia"/>
                <w:color w:val="auto"/>
                <w:sz w:val="24"/>
                <w:szCs w:val="24"/>
                <w:highlight w:val="none"/>
              </w:rPr>
            </w:pPr>
          </w:p>
        </w:tc>
        <w:tc>
          <w:tcPr>
            <w:tcW w:w="1187" w:type="dxa"/>
          </w:tcPr>
          <w:p w14:paraId="14E790AA">
            <w:pPr>
              <w:rPr>
                <w:rFonts w:asciiTheme="minorEastAsia" w:hAnsiTheme="minorEastAsia" w:eastAsiaTheme="minorEastAsia" w:cstheme="minorEastAsia"/>
                <w:color w:val="auto"/>
                <w:sz w:val="24"/>
                <w:szCs w:val="24"/>
                <w:highlight w:val="none"/>
              </w:rPr>
            </w:pPr>
          </w:p>
        </w:tc>
        <w:tc>
          <w:tcPr>
            <w:tcW w:w="1187" w:type="dxa"/>
          </w:tcPr>
          <w:p w14:paraId="42D6145B">
            <w:pPr>
              <w:rPr>
                <w:rFonts w:asciiTheme="minorEastAsia" w:hAnsiTheme="minorEastAsia" w:eastAsiaTheme="minorEastAsia" w:cstheme="minorEastAsia"/>
                <w:color w:val="auto"/>
                <w:sz w:val="24"/>
                <w:szCs w:val="24"/>
                <w:highlight w:val="none"/>
              </w:rPr>
            </w:pPr>
          </w:p>
        </w:tc>
      </w:tr>
    </w:tbl>
    <w:p w14:paraId="12972C4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1B0CC946">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1、对节能、环境标志产品计算价格扣除时，只依据电子投标文件“四-1-②优先类节能产品、环境标志产品加分证明材料（加分适用，若有）”。</w:t>
      </w:r>
    </w:p>
    <w:p w14:paraId="21D22DCC">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2、本表以采购包为单位，不同采购包请分别填写；同一采购包请按照其品目号顺序分别填写。</w:t>
      </w:r>
    </w:p>
    <w:p w14:paraId="138D7FE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3、具体统计、计算：</w:t>
      </w:r>
    </w:p>
    <w:p w14:paraId="5CC078D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3.1若节能、环境标志产品仅是构成投标产品的部件、组件或零件，则该投标产品不享受鼓励优惠政策。同一品目中各认证证书不重复计算价格扣除。强制类节能产品不享受价格扣除。</w:t>
      </w:r>
    </w:p>
    <w:p w14:paraId="28D14A5F">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3.2计算结果若除不尽，可四舍五入保留到小数点后两位。</w:t>
      </w:r>
    </w:p>
    <w:p w14:paraId="691CAFD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3.3投标人应按照招标文件要求认真统计、计算，否则评标委员会不予认定。</w:t>
      </w:r>
    </w:p>
    <w:p w14:paraId="2484C60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3.4若无节能、环境标志产品，不填写本表，否则，视为提供虚假材料。</w:t>
      </w:r>
    </w:p>
    <w:p w14:paraId="085A6FE0">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34FA3B6C">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0A0329A5">
      <w:pPr>
        <w:widowControl/>
        <w:rPr>
          <w:rFonts w:asciiTheme="minorEastAsia" w:hAnsiTheme="minorEastAsia" w:eastAsiaTheme="minorEastAsia" w:cstheme="minorEastAsia"/>
          <w:color w:val="auto"/>
          <w:kern w:val="0"/>
          <w:sz w:val="24"/>
          <w:szCs w:val="24"/>
          <w:highlight w:val="none"/>
        </w:rPr>
      </w:pPr>
    </w:p>
    <w:p w14:paraId="4E9C137B">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四-1-②优先类节能产品、环境标志产品证明材料（加分适用，若有）</w:t>
      </w:r>
    </w:p>
    <w:p w14:paraId="132398B2">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四-2招标文件规定的其他加分证明材料（若有）</w:t>
      </w:r>
    </w:p>
    <w:p w14:paraId="7449CE44">
      <w:pPr>
        <w:widowControl/>
        <w:ind w:firstLine="48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编制说明</w:t>
      </w:r>
    </w:p>
    <w:p w14:paraId="67560B03">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若投标人可享受招标文件规定的除“优先类节能产品、环境标志产品加分”外的其他加分优惠，则投标人应按照招标文件要求提供相应证明材料。</w:t>
      </w:r>
    </w:p>
    <w:p w14:paraId="77FEE84B">
      <w:pPr>
        <w:widowControl/>
        <w:spacing w:after="150"/>
        <w:jc w:val="center"/>
        <w:rPr>
          <w:rFonts w:cs="宋体" w:asciiTheme="minorEastAsia" w:hAnsiTheme="minorEastAsia" w:eastAsiaTheme="minorEastAsia"/>
          <w:color w:val="auto"/>
          <w:szCs w:val="21"/>
          <w:highlight w:val="none"/>
        </w:rPr>
      </w:pPr>
    </w:p>
    <w:p w14:paraId="724BE4C6">
      <w:pPr>
        <w:jc w:val="center"/>
        <w:rPr>
          <w:rFonts w:hint="eastAsia" w:cs="宋体" w:asciiTheme="minorEastAsia" w:hAnsiTheme="minorEastAsia" w:eastAsiaTheme="minorEastAsia"/>
          <w:b/>
          <w:color w:val="auto"/>
          <w:sz w:val="72"/>
          <w:szCs w:val="18"/>
          <w:highlight w:val="none"/>
          <w:lang w:eastAsia="zh-CN"/>
        </w:rPr>
      </w:pPr>
      <w:r>
        <w:rPr>
          <w:rFonts w:hint="eastAsia" w:cs="宋体" w:asciiTheme="minorEastAsia" w:hAnsiTheme="minorEastAsia" w:eastAsiaTheme="minorEastAsia"/>
          <w:b/>
          <w:color w:val="auto"/>
          <w:sz w:val="72"/>
          <w:szCs w:val="18"/>
          <w:highlight w:val="none"/>
          <w:lang w:eastAsia="zh-CN"/>
        </w:rPr>
        <w:t>福建省公安厅信访安保服务项目</w:t>
      </w:r>
    </w:p>
    <w:p w14:paraId="02BFD9B1">
      <w:pPr>
        <w:spacing w:line="360" w:lineRule="auto"/>
        <w:jc w:val="center"/>
        <w:rPr>
          <w:rFonts w:asciiTheme="minorEastAsia" w:hAnsiTheme="minorEastAsia" w:eastAsiaTheme="minorEastAsia"/>
          <w:b/>
          <w:color w:val="auto"/>
          <w:sz w:val="72"/>
          <w:szCs w:val="24"/>
          <w:highlight w:val="none"/>
        </w:rPr>
      </w:pPr>
    </w:p>
    <w:p w14:paraId="208FD19B">
      <w:pPr>
        <w:spacing w:line="360" w:lineRule="auto"/>
        <w:jc w:val="center"/>
        <w:rPr>
          <w:rFonts w:asciiTheme="minorEastAsia" w:hAnsiTheme="minorEastAsia" w:eastAsiaTheme="minorEastAsia"/>
          <w:b/>
          <w:color w:val="auto"/>
          <w:sz w:val="72"/>
          <w:szCs w:val="24"/>
          <w:highlight w:val="none"/>
        </w:rPr>
      </w:pPr>
      <w:r>
        <w:rPr>
          <w:rFonts w:hint="eastAsia" w:asciiTheme="minorEastAsia" w:hAnsiTheme="minorEastAsia" w:eastAsiaTheme="minorEastAsia"/>
          <w:b/>
          <w:color w:val="auto"/>
          <w:sz w:val="72"/>
          <w:szCs w:val="24"/>
          <w:highlight w:val="none"/>
        </w:rPr>
        <w:t>投标文件</w:t>
      </w:r>
    </w:p>
    <w:p w14:paraId="196FF858">
      <w:pPr>
        <w:tabs>
          <w:tab w:val="left" w:pos="900"/>
        </w:tabs>
        <w:spacing w:line="360" w:lineRule="auto"/>
        <w:rPr>
          <w:rFonts w:asciiTheme="minorEastAsia" w:hAnsiTheme="minorEastAsia" w:eastAsiaTheme="minorEastAsia"/>
          <w:color w:val="auto"/>
          <w:sz w:val="52"/>
          <w:szCs w:val="52"/>
          <w:highlight w:val="none"/>
        </w:rPr>
      </w:pPr>
    </w:p>
    <w:p w14:paraId="62C5B7D7">
      <w:pPr>
        <w:tabs>
          <w:tab w:val="left" w:pos="900"/>
        </w:tabs>
        <w:spacing w:line="360" w:lineRule="auto"/>
        <w:jc w:val="center"/>
        <w:rPr>
          <w:rFonts w:asciiTheme="minorEastAsia" w:hAnsiTheme="minorEastAsia" w:eastAsiaTheme="minorEastAsia"/>
          <w:color w:val="auto"/>
          <w:sz w:val="52"/>
          <w:szCs w:val="52"/>
          <w:highlight w:val="none"/>
        </w:rPr>
      </w:pPr>
      <w:r>
        <w:rPr>
          <w:rFonts w:hint="eastAsia" w:asciiTheme="minorEastAsia" w:hAnsiTheme="minorEastAsia" w:eastAsiaTheme="minorEastAsia"/>
          <w:color w:val="auto"/>
          <w:sz w:val="52"/>
          <w:szCs w:val="52"/>
          <w:highlight w:val="none"/>
        </w:rPr>
        <w:t>（第二册技术商务部分）</w:t>
      </w:r>
    </w:p>
    <w:p w14:paraId="19A4D222">
      <w:pPr>
        <w:tabs>
          <w:tab w:val="left" w:pos="900"/>
        </w:tabs>
        <w:spacing w:line="360" w:lineRule="auto"/>
        <w:rPr>
          <w:rFonts w:asciiTheme="minorEastAsia" w:hAnsiTheme="minorEastAsia" w:eastAsiaTheme="minorEastAsia"/>
          <w:color w:val="auto"/>
          <w:szCs w:val="21"/>
          <w:highlight w:val="none"/>
        </w:rPr>
      </w:pPr>
    </w:p>
    <w:p w14:paraId="601BEA1B">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项目名称：</w:t>
      </w:r>
    </w:p>
    <w:p w14:paraId="0EEAB6B3">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招标编号：</w:t>
      </w:r>
    </w:p>
    <w:p w14:paraId="73F655CD">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52461184">
      <w:pPr>
        <w:tabs>
          <w:tab w:val="left" w:pos="900"/>
        </w:tabs>
        <w:spacing w:line="360" w:lineRule="auto"/>
        <w:ind w:firstLine="2342" w:firstLineChars="648"/>
        <w:rPr>
          <w:rFonts w:asciiTheme="minorEastAsia" w:hAnsiTheme="minorEastAsia" w:eastAsiaTheme="minorEastAsia"/>
          <w:b/>
          <w:color w:val="auto"/>
          <w:sz w:val="36"/>
          <w:szCs w:val="36"/>
          <w:highlight w:val="none"/>
          <w:u w:val="single"/>
        </w:rPr>
      </w:pPr>
      <w:r>
        <w:rPr>
          <w:rFonts w:hint="eastAsia" w:asciiTheme="minorEastAsia" w:hAnsiTheme="minorEastAsia" w:eastAsiaTheme="minorEastAsia"/>
          <w:b/>
          <w:color w:val="auto"/>
          <w:sz w:val="36"/>
          <w:szCs w:val="36"/>
          <w:highlight w:val="none"/>
        </w:rPr>
        <w:t>所投合同包：</w:t>
      </w:r>
    </w:p>
    <w:p w14:paraId="208C5635">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7D830F18">
      <w:pPr>
        <w:tabs>
          <w:tab w:val="left" w:pos="900"/>
          <w:tab w:val="left" w:pos="6840"/>
        </w:tabs>
        <w:spacing w:line="360" w:lineRule="auto"/>
        <w:ind w:firstLine="2342" w:firstLineChars="648"/>
        <w:rPr>
          <w:rFonts w:asciiTheme="minorEastAsia" w:hAnsiTheme="minorEastAsia" w:eastAsiaTheme="minorEastAsia"/>
          <w:b/>
          <w:color w:val="auto"/>
          <w:sz w:val="36"/>
          <w:szCs w:val="36"/>
          <w:highlight w:val="none"/>
          <w:u w:val="single"/>
        </w:rPr>
      </w:pPr>
      <w:r>
        <w:rPr>
          <w:rFonts w:hint="eastAsia" w:asciiTheme="minorEastAsia" w:hAnsiTheme="minorEastAsia" w:eastAsiaTheme="minorEastAsia"/>
          <w:b/>
          <w:color w:val="auto"/>
          <w:sz w:val="36"/>
          <w:szCs w:val="36"/>
          <w:highlight w:val="none"/>
        </w:rPr>
        <w:t>投标人名称：</w:t>
      </w:r>
    </w:p>
    <w:p w14:paraId="2302EA34">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地址：</w:t>
      </w:r>
    </w:p>
    <w:p w14:paraId="523E3F00">
      <w:pPr>
        <w:tabs>
          <w:tab w:val="left" w:pos="900"/>
        </w:tabs>
        <w:spacing w:line="360" w:lineRule="auto"/>
        <w:ind w:firstLine="2342" w:firstLineChars="648"/>
        <w:rPr>
          <w:rFonts w:asciiTheme="minorEastAsia" w:hAnsiTheme="minorEastAsia" w:eastAsiaTheme="minorEastAsia"/>
          <w:b/>
          <w:color w:val="auto"/>
          <w:sz w:val="36"/>
          <w:szCs w:val="36"/>
          <w:highlight w:val="none"/>
        </w:rPr>
      </w:pPr>
      <w:r>
        <w:rPr>
          <w:rFonts w:hint="eastAsia" w:asciiTheme="minorEastAsia" w:hAnsiTheme="minorEastAsia" w:eastAsiaTheme="minorEastAsia"/>
          <w:b/>
          <w:color w:val="auto"/>
          <w:sz w:val="36"/>
          <w:szCs w:val="36"/>
          <w:highlight w:val="none"/>
        </w:rPr>
        <w:t>日期：</w:t>
      </w:r>
    </w:p>
    <w:p w14:paraId="165C3959">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09A20060">
      <w:pPr>
        <w:tabs>
          <w:tab w:val="left" w:pos="900"/>
        </w:tabs>
        <w:spacing w:line="360" w:lineRule="auto"/>
        <w:ind w:firstLine="2342" w:firstLineChars="648"/>
        <w:rPr>
          <w:rFonts w:asciiTheme="minorEastAsia" w:hAnsiTheme="minorEastAsia" w:eastAsiaTheme="minorEastAsia"/>
          <w:b/>
          <w:color w:val="auto"/>
          <w:sz w:val="36"/>
          <w:szCs w:val="36"/>
          <w:highlight w:val="none"/>
        </w:rPr>
      </w:pPr>
    </w:p>
    <w:p w14:paraId="0FE23397">
      <w:pPr>
        <w:tabs>
          <w:tab w:val="left" w:pos="900"/>
        </w:tabs>
        <w:spacing w:line="360" w:lineRule="auto"/>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技术商务标目录</w:t>
      </w:r>
    </w:p>
    <w:p w14:paraId="47252B8F">
      <w:pPr>
        <w:tabs>
          <w:tab w:val="left" w:pos="900"/>
        </w:tabs>
        <w:spacing w:line="360" w:lineRule="auto"/>
        <w:jc w:val="center"/>
        <w:rPr>
          <w:rFonts w:asciiTheme="minorEastAsia" w:hAnsiTheme="minorEastAsia" w:eastAsiaTheme="minorEastAsia"/>
          <w:b/>
          <w:color w:val="auto"/>
          <w:sz w:val="52"/>
          <w:szCs w:val="52"/>
          <w:highlight w:val="none"/>
        </w:rPr>
      </w:pPr>
    </w:p>
    <w:p w14:paraId="62BE7911">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一、投标函</w:t>
      </w:r>
    </w:p>
    <w:p w14:paraId="6E4F2099">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二、投标人的资格及资信证明文件</w:t>
      </w:r>
    </w:p>
    <w:p w14:paraId="1FE1F535">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三、投标保证金</w:t>
      </w:r>
    </w:p>
    <w:p w14:paraId="22EE59D7">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四、技术和服务要求响应表</w:t>
      </w:r>
    </w:p>
    <w:p w14:paraId="59A7AF27">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五、商务条件响应表</w:t>
      </w:r>
    </w:p>
    <w:p w14:paraId="7F4239DB">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六、投标人提交的其他资料（若有）</w:t>
      </w:r>
    </w:p>
    <w:p w14:paraId="438419A7">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p>
    <w:p w14:paraId="7BD21C31">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p>
    <w:p w14:paraId="0171251A">
      <w:pPr>
        <w:tabs>
          <w:tab w:val="left" w:pos="900"/>
        </w:tabs>
        <w:spacing w:before="120" w:beforeLines="50" w:line="360" w:lineRule="auto"/>
        <w:ind w:left="850" w:leftChars="405"/>
        <w:rPr>
          <w:rFonts w:asciiTheme="minorEastAsia" w:hAnsiTheme="minorEastAsia" w:eastAsiaTheme="minorEastAsia"/>
          <w:color w:val="auto"/>
          <w:sz w:val="28"/>
          <w:szCs w:val="28"/>
          <w:highlight w:val="none"/>
        </w:rPr>
      </w:pPr>
    </w:p>
    <w:p w14:paraId="13C33826">
      <w:pPr>
        <w:tabs>
          <w:tab w:val="left" w:pos="900"/>
        </w:tabs>
        <w:spacing w:line="360" w:lineRule="auto"/>
        <w:ind w:left="-2" w:leftChars="-1"/>
        <w:rPr>
          <w:rFonts w:asciiTheme="minorEastAsia" w:hAnsiTheme="minorEastAsia" w:eastAsiaTheme="minorEastAsia"/>
          <w:b/>
          <w:color w:val="auto"/>
          <w:szCs w:val="21"/>
          <w:highlight w:val="none"/>
        </w:rPr>
      </w:pPr>
      <w:r>
        <w:rPr>
          <w:rFonts w:asciiTheme="minorEastAsia" w:hAnsiTheme="minorEastAsia" w:eastAsiaTheme="minorEastAsia"/>
          <w:b/>
          <w:color w:val="auto"/>
          <w:szCs w:val="21"/>
          <w:highlight w:val="none"/>
        </w:rPr>
        <w:br w:type="page"/>
      </w:r>
    </w:p>
    <w:p w14:paraId="2BA221BE">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一、投标函</w:t>
      </w:r>
    </w:p>
    <w:p w14:paraId="14C28B1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123874DB">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兹收到贵单位关于</w:t>
      </w:r>
      <w:r>
        <w:rPr>
          <w:rFonts w:hint="eastAsia" w:cs="宋体" w:asciiTheme="minorEastAsia" w:hAnsiTheme="minorEastAsia" w:eastAsiaTheme="minorEastAsia"/>
          <w:color w:val="auto"/>
          <w:kern w:val="0"/>
          <w:sz w:val="24"/>
          <w:szCs w:val="24"/>
          <w:highlight w:val="none"/>
          <w:u w:val="single"/>
        </w:rPr>
        <w:t>（填写“项目名称”）</w:t>
      </w:r>
      <w:r>
        <w:rPr>
          <w:rFonts w:hint="eastAsia" w:cs="宋体" w:asciiTheme="minorEastAsia" w:hAnsiTheme="minorEastAsia" w:eastAsiaTheme="minorEastAsia"/>
          <w:color w:val="auto"/>
          <w:kern w:val="0"/>
          <w:sz w:val="24"/>
          <w:szCs w:val="24"/>
          <w:highlight w:val="none"/>
        </w:rPr>
        <w:t>项目（招标编号：</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）的投标邀请，本投标人代表</w:t>
      </w:r>
      <w:r>
        <w:rPr>
          <w:rFonts w:hint="eastAsia" w:cs="宋体" w:asciiTheme="minorEastAsia" w:hAnsiTheme="minorEastAsia" w:eastAsiaTheme="minorEastAsia"/>
          <w:color w:val="auto"/>
          <w:kern w:val="0"/>
          <w:sz w:val="24"/>
          <w:szCs w:val="24"/>
          <w:highlight w:val="none"/>
          <w:u w:val="single"/>
        </w:rPr>
        <w:t>（填写“全名”）</w:t>
      </w:r>
      <w:r>
        <w:rPr>
          <w:rFonts w:hint="eastAsia" w:cs="宋体" w:asciiTheme="minorEastAsia" w:hAnsiTheme="minorEastAsia" w:eastAsiaTheme="minorEastAsia"/>
          <w:color w:val="auto"/>
          <w:kern w:val="0"/>
          <w:sz w:val="24"/>
          <w:szCs w:val="24"/>
          <w:highlight w:val="none"/>
        </w:rPr>
        <w:t>已获得我方正式授权并代表投标人</w:t>
      </w:r>
      <w:r>
        <w:rPr>
          <w:rFonts w:hint="eastAsia" w:cs="宋体" w:asciiTheme="minorEastAsia" w:hAnsiTheme="minorEastAsia" w:eastAsiaTheme="minorEastAsia"/>
          <w:color w:val="auto"/>
          <w:kern w:val="0"/>
          <w:sz w:val="24"/>
          <w:szCs w:val="24"/>
          <w:highlight w:val="none"/>
          <w:u w:val="single"/>
        </w:rPr>
        <w:t>（填写“全称”）</w:t>
      </w:r>
      <w:r>
        <w:rPr>
          <w:rFonts w:hint="eastAsia" w:cs="宋体" w:asciiTheme="minorEastAsia" w:hAnsiTheme="minorEastAsia" w:eastAsiaTheme="minorEastAsia"/>
          <w:color w:val="auto"/>
          <w:kern w:val="0"/>
          <w:sz w:val="24"/>
          <w:szCs w:val="24"/>
          <w:highlight w:val="none"/>
        </w:rPr>
        <w:t>参加投标，并提交招标文件规定份数的投标文件正本和副本。我方提交的全部投标文件均由下述部分组成：</w:t>
      </w:r>
    </w:p>
    <w:p w14:paraId="2EFE2DF5">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）报价部分</w:t>
      </w:r>
    </w:p>
    <w:p w14:paraId="0F3FF2F4">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①开标一览表</w:t>
      </w:r>
    </w:p>
    <w:p w14:paraId="1B43C70C">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②投标分项报价表</w:t>
      </w:r>
    </w:p>
    <w:p w14:paraId="6CD440B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③招标文件规定的价格扣除证明材料（若有）</w:t>
      </w:r>
    </w:p>
    <w:p w14:paraId="0B4924FC">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④招标文件规定的加分证明材料（若有）</w:t>
      </w:r>
    </w:p>
    <w:p w14:paraId="13EA14FD">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（2）技术商务部分</w:t>
      </w:r>
    </w:p>
    <w:p w14:paraId="14289048">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①投标函</w:t>
      </w:r>
    </w:p>
    <w:p w14:paraId="5E1CE9D1">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②投标人的资格及资信证明文件</w:t>
      </w:r>
    </w:p>
    <w:p w14:paraId="58B551FA">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③投标保证金</w:t>
      </w:r>
    </w:p>
    <w:p w14:paraId="1416B8D6">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④技术和服务要求响应表</w:t>
      </w:r>
    </w:p>
    <w:p w14:paraId="7170585B">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⑤商务条件响应表</w:t>
      </w:r>
    </w:p>
    <w:p w14:paraId="35F49B28">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⑥投标人提交的其他资料（若有）</w:t>
      </w:r>
    </w:p>
    <w:p w14:paraId="580DDAD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通信地址：</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邮编：</w:t>
      </w:r>
      <w:r>
        <w:rPr>
          <w:rFonts w:cs="宋体" w:asciiTheme="minorEastAsia" w:hAnsiTheme="minorEastAsia" w:eastAsiaTheme="minorEastAsia"/>
          <w:color w:val="auto"/>
          <w:kern w:val="0"/>
          <w:sz w:val="24"/>
          <w:szCs w:val="24"/>
          <w:highlight w:val="none"/>
          <w:u w:val="single"/>
        </w:rPr>
        <w:t>         </w:t>
      </w:r>
    </w:p>
    <w:p w14:paraId="3E51BFBA">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联系方法：</w:t>
      </w:r>
      <w:r>
        <w:rPr>
          <w:rFonts w:hint="eastAsia" w:cs="宋体" w:asciiTheme="minorEastAsia" w:hAnsiTheme="minorEastAsia" w:eastAsiaTheme="minorEastAsia"/>
          <w:color w:val="auto"/>
          <w:kern w:val="0"/>
          <w:sz w:val="24"/>
          <w:szCs w:val="24"/>
          <w:highlight w:val="none"/>
          <w:u w:val="single"/>
        </w:rPr>
        <w:t>（包括但不限于：联系人、联系电话、手机、传真、电子邮箱等）</w:t>
      </w:r>
    </w:p>
    <w:p w14:paraId="7512C477">
      <w:pPr>
        <w:widowControl/>
        <w:spacing w:after="150"/>
        <w:ind w:firstLine="42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743517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71D2FCB8">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1331BE7E">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5C488D2A">
      <w:pPr>
        <w:widowControl/>
        <w:spacing w:after="150"/>
        <w:jc w:val="center"/>
        <w:rPr>
          <w:rFonts w:cs="宋体" w:asciiTheme="minorEastAsia" w:hAnsiTheme="minorEastAsia" w:eastAsiaTheme="minorEastAsia"/>
          <w:b/>
          <w:bCs/>
          <w:color w:val="auto"/>
          <w:kern w:val="0"/>
          <w:sz w:val="24"/>
          <w:szCs w:val="24"/>
          <w:highlight w:val="none"/>
        </w:rPr>
      </w:pPr>
    </w:p>
    <w:p w14:paraId="688F2975">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二、投标人的资格及资信证明文件</w:t>
      </w:r>
    </w:p>
    <w:p w14:paraId="484033D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4A926814">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-1</w:t>
      </w:r>
      <w:r>
        <w:rPr>
          <w:rFonts w:hint="eastAsia" w:cs="宋体" w:asciiTheme="minorEastAsia" w:hAnsiTheme="minorEastAsia" w:eastAsiaTheme="minorEastAsia"/>
          <w:b/>
          <w:bCs/>
          <w:color w:val="auto"/>
          <w:kern w:val="0"/>
          <w:sz w:val="24"/>
          <w:szCs w:val="24"/>
          <w:highlight w:val="none"/>
        </w:rPr>
        <w:t>单位负责人授权书（若有）</w:t>
      </w:r>
    </w:p>
    <w:p w14:paraId="4C75456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A45DE7D">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3B68032C">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我方的单位负责人</w:t>
      </w:r>
      <w:r>
        <w:rPr>
          <w:rFonts w:hint="eastAsia" w:cs="宋体" w:asciiTheme="minorEastAsia" w:hAnsiTheme="minorEastAsia" w:eastAsiaTheme="minorEastAsia"/>
          <w:color w:val="auto"/>
          <w:kern w:val="0"/>
          <w:sz w:val="24"/>
          <w:szCs w:val="24"/>
          <w:highlight w:val="none"/>
          <w:u w:val="single"/>
        </w:rPr>
        <w:t>（填写“单位负责人全名”）</w:t>
      </w:r>
      <w:r>
        <w:rPr>
          <w:rFonts w:hint="eastAsia" w:cs="宋体" w:asciiTheme="minorEastAsia" w:hAnsiTheme="minorEastAsia" w:eastAsiaTheme="minorEastAsia"/>
          <w:color w:val="auto"/>
          <w:kern w:val="0"/>
          <w:sz w:val="24"/>
          <w:szCs w:val="24"/>
          <w:highlight w:val="none"/>
        </w:rPr>
        <w:t>授权</w:t>
      </w:r>
      <w:r>
        <w:rPr>
          <w:rFonts w:hint="eastAsia" w:cs="宋体" w:asciiTheme="minorEastAsia" w:hAnsiTheme="minorEastAsia" w:eastAsiaTheme="minorEastAsia"/>
          <w:color w:val="auto"/>
          <w:kern w:val="0"/>
          <w:sz w:val="24"/>
          <w:szCs w:val="24"/>
          <w:highlight w:val="none"/>
          <w:u w:val="single"/>
        </w:rPr>
        <w:t>（填写“投标人代表全名”）</w:t>
      </w:r>
      <w:r>
        <w:rPr>
          <w:rFonts w:hint="eastAsia" w:cs="宋体" w:asciiTheme="minorEastAsia" w:hAnsiTheme="minorEastAsia" w:eastAsiaTheme="minorEastAsia"/>
          <w:color w:val="auto"/>
          <w:kern w:val="0"/>
          <w:sz w:val="24"/>
          <w:szCs w:val="24"/>
          <w:highlight w:val="none"/>
        </w:rPr>
        <w:t>为投标人代表，代表我方参加</w:t>
      </w:r>
      <w:r>
        <w:rPr>
          <w:rFonts w:hint="eastAsia" w:cs="宋体" w:asciiTheme="minorEastAsia" w:hAnsiTheme="minorEastAsia" w:eastAsiaTheme="minorEastAsia"/>
          <w:color w:val="auto"/>
          <w:kern w:val="0"/>
          <w:sz w:val="24"/>
          <w:szCs w:val="24"/>
          <w:highlight w:val="none"/>
          <w:u w:val="single"/>
        </w:rPr>
        <w:t>（填写“项目名称”）</w:t>
      </w:r>
      <w:r>
        <w:rPr>
          <w:rFonts w:hint="eastAsia" w:cs="宋体" w:asciiTheme="minorEastAsia" w:hAnsiTheme="minorEastAsia" w:eastAsiaTheme="minorEastAsia"/>
          <w:color w:val="auto"/>
          <w:kern w:val="0"/>
          <w:sz w:val="24"/>
          <w:szCs w:val="24"/>
          <w:highlight w:val="none"/>
        </w:rPr>
        <w:t>项目（招标编号：</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561568F1">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投标人代表无转委权。特此授权。</w:t>
      </w:r>
    </w:p>
    <w:p w14:paraId="657E868F">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（以下无正文）</w:t>
      </w:r>
    </w:p>
    <w:p w14:paraId="2C3C3167">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560D472C">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单位负责人：</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身份证号：</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手机：</w:t>
      </w:r>
      <w:r>
        <w:rPr>
          <w:rFonts w:cs="宋体" w:asciiTheme="minorEastAsia" w:hAnsiTheme="minorEastAsia" w:eastAsiaTheme="minorEastAsia"/>
          <w:color w:val="auto"/>
          <w:kern w:val="0"/>
          <w:sz w:val="24"/>
          <w:szCs w:val="24"/>
          <w:highlight w:val="none"/>
          <w:u w:val="single"/>
        </w:rPr>
        <w:t>        </w:t>
      </w:r>
    </w:p>
    <w:p w14:paraId="0327017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身份证号：</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手机：</w:t>
      </w:r>
      <w:r>
        <w:rPr>
          <w:rFonts w:cs="宋体" w:asciiTheme="minorEastAsia" w:hAnsiTheme="minorEastAsia" w:eastAsiaTheme="minorEastAsia"/>
          <w:color w:val="auto"/>
          <w:kern w:val="0"/>
          <w:sz w:val="24"/>
          <w:szCs w:val="24"/>
          <w:highlight w:val="none"/>
          <w:u w:val="single"/>
        </w:rPr>
        <w:t>        </w:t>
      </w:r>
    </w:p>
    <w:p w14:paraId="3FEEF59F">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E4634D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授权方</w:t>
      </w:r>
    </w:p>
    <w:p w14:paraId="1B7DB9A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6FA3E15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单位负责人签字或盖章：</w:t>
      </w:r>
      <w:r>
        <w:rPr>
          <w:rFonts w:cs="宋体" w:asciiTheme="minorEastAsia" w:hAnsiTheme="minorEastAsia" w:eastAsiaTheme="minorEastAsia"/>
          <w:color w:val="auto"/>
          <w:kern w:val="0"/>
          <w:sz w:val="24"/>
          <w:szCs w:val="24"/>
          <w:highlight w:val="none"/>
          <w:u w:val="single"/>
        </w:rPr>
        <w:t>                   </w:t>
      </w:r>
    </w:p>
    <w:p w14:paraId="2D9D8458">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4E54F3C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接受授权方</w:t>
      </w:r>
    </w:p>
    <w:p w14:paraId="41A7FF9E">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14B19BD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8FAF5F8">
      <w:pPr>
        <w:widowControl/>
        <w:spacing w:after="150"/>
        <w:jc w:val="righ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签署日期：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74F1145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B2D3E5F">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附：单位负责人、投标人代表的身份证正反面复印件</w:t>
      </w:r>
    </w:p>
    <w:tbl>
      <w:tblPr>
        <w:tblStyle w:val="53"/>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956"/>
      </w:tblGrid>
      <w:tr w14:paraId="3F75008F">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000"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77714CB">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b/>
                <w:bCs/>
                <w:color w:val="auto"/>
                <w:kern w:val="0"/>
                <w:sz w:val="24"/>
                <w:szCs w:val="24"/>
                <w:highlight w:val="none"/>
              </w:rPr>
              <w:t> </w:t>
            </w:r>
          </w:p>
          <w:p w14:paraId="324C7BD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要求：真实有效且内容完整、清晰、整洁。</w:t>
            </w:r>
          </w:p>
          <w:p w14:paraId="5725EA9D">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b/>
                <w:bCs/>
                <w:color w:val="auto"/>
                <w:kern w:val="0"/>
                <w:sz w:val="24"/>
                <w:szCs w:val="24"/>
                <w:highlight w:val="none"/>
              </w:rPr>
              <w:t> </w:t>
            </w:r>
          </w:p>
        </w:tc>
      </w:tr>
    </w:tbl>
    <w:p w14:paraId="5963057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2683FA9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5512675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、企业（银行、保险、石油石化、电力、电信等行业除外）、事业单位和社会团体法人的“单位负责人”指</w:t>
      </w:r>
      <w:r>
        <w:rPr>
          <w:rFonts w:hint="eastAsia" w:cs="宋体" w:asciiTheme="minorEastAsia" w:hAnsiTheme="minorEastAsia" w:eastAsiaTheme="minorEastAsia"/>
          <w:b/>
          <w:bCs/>
          <w:color w:val="auto"/>
          <w:kern w:val="0"/>
          <w:sz w:val="24"/>
          <w:szCs w:val="24"/>
          <w:highlight w:val="none"/>
        </w:rPr>
        <w:t>单位负责人</w:t>
      </w:r>
      <w:r>
        <w:rPr>
          <w:rFonts w:hint="eastAsia" w:cs="宋体" w:asciiTheme="minorEastAsia" w:hAnsiTheme="minorEastAsia" w:eastAsiaTheme="minorEastAsia"/>
          <w:color w:val="auto"/>
          <w:kern w:val="0"/>
          <w:sz w:val="24"/>
          <w:szCs w:val="24"/>
          <w:highlight w:val="none"/>
        </w:rPr>
        <w:t>，即与实际提交的“营业执照等证明文件”载明的一致。</w:t>
      </w:r>
    </w:p>
    <w:p w14:paraId="683B821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05C294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、投标人（自然人除外）：若投标人代表为单位负责人授权的委托代理人，应提供本授权书；若投标人代表为单位负责人，应在此项下提交其身份证正反面复印件，可不提供本授权书。</w:t>
      </w:r>
    </w:p>
    <w:p w14:paraId="1E392970">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、投标人为自然人的，可不填写本授权书。</w:t>
      </w:r>
    </w:p>
    <w:p w14:paraId="6592024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5</w:t>
      </w:r>
      <w:r>
        <w:rPr>
          <w:rFonts w:hint="eastAsia" w:cs="宋体" w:asciiTheme="minorEastAsia" w:hAnsiTheme="minorEastAsia" w:eastAsiaTheme="minorEastAsia"/>
          <w:color w:val="auto"/>
          <w:kern w:val="0"/>
          <w:sz w:val="24"/>
          <w:szCs w:val="24"/>
          <w:highlight w:val="none"/>
        </w:rPr>
        <w:t>、纸质投标文件正本中的本授权书（若有）应为原件。</w:t>
      </w:r>
    </w:p>
    <w:p w14:paraId="1C98FB52">
      <w:pPr>
        <w:widowControl/>
        <w:spacing w:after="150"/>
        <w:jc w:val="center"/>
        <w:rPr>
          <w:rFonts w:cs="宋体" w:asciiTheme="minorEastAsia" w:hAnsiTheme="minorEastAsia" w:eastAsiaTheme="minorEastAsia"/>
          <w:color w:val="auto"/>
          <w:kern w:val="0"/>
          <w:sz w:val="24"/>
          <w:szCs w:val="24"/>
          <w:highlight w:val="none"/>
        </w:rPr>
      </w:pPr>
    </w:p>
    <w:p w14:paraId="6CEEB949">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-2</w:t>
      </w:r>
      <w:r>
        <w:rPr>
          <w:rFonts w:hint="eastAsia" w:cs="宋体" w:asciiTheme="minorEastAsia" w:hAnsiTheme="minorEastAsia" w:eastAsiaTheme="minorEastAsia"/>
          <w:b/>
          <w:bCs/>
          <w:color w:val="auto"/>
          <w:kern w:val="0"/>
          <w:sz w:val="24"/>
          <w:szCs w:val="24"/>
          <w:highlight w:val="none"/>
        </w:rPr>
        <w:t>营业执照等证明文件</w:t>
      </w:r>
    </w:p>
    <w:p w14:paraId="67054A0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B3BCC5A">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5D4D7EE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）投标人为法人（包括企业、事业单位和社会团体）的</w:t>
      </w:r>
    </w:p>
    <w:p w14:paraId="698B45E6">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现附上由</w:t>
      </w:r>
      <w:r>
        <w:rPr>
          <w:rFonts w:hint="eastAsia" w:cs="宋体" w:asciiTheme="minorEastAsia" w:hAnsiTheme="minorEastAsia" w:eastAsiaTheme="minorEastAsia"/>
          <w:color w:val="auto"/>
          <w:kern w:val="0"/>
          <w:sz w:val="24"/>
          <w:szCs w:val="24"/>
          <w:highlight w:val="none"/>
          <w:u w:val="single"/>
        </w:rPr>
        <w:t>（填写“签发机关全称”）</w:t>
      </w:r>
      <w:r>
        <w:rPr>
          <w:rFonts w:hint="eastAsia" w:cs="宋体" w:asciiTheme="minorEastAsia" w:hAnsiTheme="minorEastAsia" w:eastAsiaTheme="minorEastAsia"/>
          <w:color w:val="auto"/>
          <w:kern w:val="0"/>
          <w:sz w:val="24"/>
          <w:szCs w:val="24"/>
          <w:highlight w:val="none"/>
        </w:rPr>
        <w:t>签发的我方统一社会信用代码</w:t>
      </w:r>
      <w:r>
        <w:rPr>
          <w:rFonts w:hint="eastAsia" w:cs="宋体" w:asciiTheme="minorEastAsia" w:hAnsiTheme="minorEastAsia" w:eastAsiaTheme="minorEastAsia"/>
          <w:color w:val="auto"/>
          <w:kern w:val="0"/>
          <w:sz w:val="24"/>
          <w:szCs w:val="24"/>
          <w:highlight w:val="none"/>
          <w:u w:val="single"/>
        </w:rPr>
        <w:t>（请填写具体证照名称）</w:t>
      </w:r>
      <w:r>
        <w:rPr>
          <w:rFonts w:hint="eastAsia" w:cs="宋体" w:asciiTheme="minorEastAsia" w:hAnsiTheme="minorEastAsia" w:eastAsiaTheme="minorEastAsia"/>
          <w:color w:val="auto"/>
          <w:kern w:val="0"/>
          <w:sz w:val="24"/>
          <w:szCs w:val="24"/>
          <w:highlight w:val="none"/>
        </w:rPr>
        <w:t>复印件，该证明材料真实有效，否则我方负全部责任。</w:t>
      </w:r>
    </w:p>
    <w:p w14:paraId="38C816A9">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）投标人为非法人（包括其他组织、自然人）的</w:t>
      </w:r>
    </w:p>
    <w:p w14:paraId="0D8EDC9B">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□现附上由</w:t>
      </w:r>
      <w:r>
        <w:rPr>
          <w:rFonts w:hint="eastAsia" w:cs="宋体" w:asciiTheme="minorEastAsia" w:hAnsiTheme="minorEastAsia" w:eastAsiaTheme="minorEastAsia"/>
          <w:color w:val="auto"/>
          <w:kern w:val="0"/>
          <w:sz w:val="24"/>
          <w:szCs w:val="24"/>
          <w:highlight w:val="none"/>
          <w:u w:val="single"/>
        </w:rPr>
        <w:t>（填写“签发机关全称”）</w:t>
      </w:r>
      <w:r>
        <w:rPr>
          <w:rFonts w:hint="eastAsia" w:cs="宋体" w:asciiTheme="minorEastAsia" w:hAnsiTheme="minorEastAsia" w:eastAsiaTheme="minorEastAsia"/>
          <w:color w:val="auto"/>
          <w:kern w:val="0"/>
          <w:sz w:val="24"/>
          <w:szCs w:val="24"/>
          <w:highlight w:val="none"/>
        </w:rPr>
        <w:t>签发的我方</w:t>
      </w:r>
      <w:r>
        <w:rPr>
          <w:rFonts w:hint="eastAsia" w:cs="宋体" w:asciiTheme="minorEastAsia" w:hAnsiTheme="minorEastAsia" w:eastAsiaTheme="minorEastAsia"/>
          <w:color w:val="auto"/>
          <w:kern w:val="0"/>
          <w:sz w:val="24"/>
          <w:szCs w:val="24"/>
          <w:highlight w:val="none"/>
          <w:u w:val="single"/>
        </w:rPr>
        <w:t>（请填写非自然人的非法人的具体证照名称）</w:t>
      </w:r>
      <w:r>
        <w:rPr>
          <w:rFonts w:hint="eastAsia" w:cs="宋体" w:asciiTheme="minorEastAsia" w:hAnsiTheme="minorEastAsia" w:eastAsiaTheme="minorEastAsia"/>
          <w:color w:val="auto"/>
          <w:kern w:val="0"/>
          <w:sz w:val="24"/>
          <w:szCs w:val="24"/>
          <w:highlight w:val="none"/>
        </w:rPr>
        <w:t>复印件，该证明材料真实有效，否则我方负全部责任。</w:t>
      </w:r>
    </w:p>
    <w:p w14:paraId="1ECC708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□现附上由</w:t>
      </w:r>
      <w:r>
        <w:rPr>
          <w:rFonts w:hint="eastAsia" w:cs="宋体" w:asciiTheme="minorEastAsia" w:hAnsiTheme="minorEastAsia" w:eastAsiaTheme="minorEastAsia"/>
          <w:color w:val="auto"/>
          <w:kern w:val="0"/>
          <w:sz w:val="24"/>
          <w:szCs w:val="24"/>
          <w:highlight w:val="none"/>
          <w:u w:val="single"/>
        </w:rPr>
        <w:t>（填写“签发机关全称”）</w:t>
      </w:r>
      <w:r>
        <w:rPr>
          <w:rFonts w:hint="eastAsia" w:cs="宋体" w:asciiTheme="minorEastAsia" w:hAnsiTheme="minorEastAsia" w:eastAsiaTheme="minorEastAsia"/>
          <w:color w:val="auto"/>
          <w:kern w:val="0"/>
          <w:sz w:val="24"/>
          <w:szCs w:val="24"/>
          <w:highlight w:val="none"/>
        </w:rPr>
        <w:t>签发的我方</w:t>
      </w:r>
      <w:r>
        <w:rPr>
          <w:rFonts w:hint="eastAsia" w:cs="宋体" w:asciiTheme="minorEastAsia" w:hAnsiTheme="minorEastAsia" w:eastAsiaTheme="minorEastAsia"/>
          <w:color w:val="auto"/>
          <w:kern w:val="0"/>
          <w:sz w:val="24"/>
          <w:szCs w:val="24"/>
          <w:highlight w:val="none"/>
          <w:u w:val="single"/>
        </w:rPr>
        <w:t>（请填写自然人的身份证件名称）</w:t>
      </w:r>
      <w:r>
        <w:rPr>
          <w:rFonts w:hint="eastAsia" w:cs="宋体" w:asciiTheme="minorEastAsia" w:hAnsiTheme="minorEastAsia" w:eastAsiaTheme="minorEastAsia"/>
          <w:color w:val="auto"/>
          <w:kern w:val="0"/>
          <w:sz w:val="24"/>
          <w:szCs w:val="24"/>
          <w:highlight w:val="none"/>
        </w:rPr>
        <w:t>复印件，该证明材料真实有效，否则我方负全部责任。</w:t>
      </w:r>
    </w:p>
    <w:p w14:paraId="36C68FA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254DE28F">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14D3AE3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、请投标人按照实际情况编制填写，在相应的（）中打“√”并选择相应的“□”（若有）后，再按照本格式的要求提供相应证明材料的复印件。</w:t>
      </w:r>
    </w:p>
    <w:p w14:paraId="0A9118B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5E08FB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、投标人提供的相应证明材料复印件均应符合：内容完整、清晰、整洁，并由投标人加盖其单位公章。</w:t>
      </w:r>
    </w:p>
    <w:p w14:paraId="615201B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43D8FEE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45284831">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3180415C">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7444D62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A98C646">
      <w:pPr>
        <w:widowControl/>
        <w:spacing w:after="150"/>
        <w:jc w:val="center"/>
        <w:rPr>
          <w:rFonts w:cs="宋体" w:asciiTheme="minorEastAsia" w:hAnsiTheme="minorEastAsia" w:eastAsiaTheme="minorEastAsia"/>
          <w:color w:val="auto"/>
          <w:kern w:val="0"/>
          <w:sz w:val="24"/>
          <w:szCs w:val="24"/>
          <w:highlight w:val="none"/>
        </w:rPr>
      </w:pPr>
    </w:p>
    <w:p w14:paraId="7CDA431F">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-3</w:t>
      </w:r>
      <w:r>
        <w:rPr>
          <w:rFonts w:hint="eastAsia" w:cs="宋体" w:asciiTheme="minorEastAsia" w:hAnsiTheme="minorEastAsia" w:eastAsiaTheme="minorEastAsia"/>
          <w:b/>
          <w:bCs/>
          <w:color w:val="auto"/>
          <w:kern w:val="0"/>
          <w:sz w:val="24"/>
          <w:szCs w:val="24"/>
          <w:highlight w:val="none"/>
        </w:rPr>
        <w:t>财务状况报告（财务报告、或资信证明、或投标担保函）</w:t>
      </w:r>
    </w:p>
    <w:p w14:paraId="1D35AD3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4302762E">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7152DB21">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）投标人提供财务报告的</w:t>
      </w:r>
    </w:p>
    <w:p w14:paraId="14FDD5FD">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□企业适用：现附上我方</w:t>
      </w:r>
      <w:r>
        <w:rPr>
          <w:rFonts w:hint="eastAsia" w:cs="宋体" w:asciiTheme="minorEastAsia" w:hAnsiTheme="minorEastAsia" w:eastAsiaTheme="minorEastAsia"/>
          <w:color w:val="auto"/>
          <w:kern w:val="0"/>
          <w:sz w:val="24"/>
          <w:szCs w:val="24"/>
          <w:highlight w:val="none"/>
          <w:u w:val="single"/>
        </w:rPr>
        <w:t>（填写“具体的年度、或半年度、或季度”）</w:t>
      </w:r>
      <w:r>
        <w:rPr>
          <w:rFonts w:hint="eastAsia" w:cs="宋体" w:asciiTheme="minorEastAsia" w:hAnsiTheme="minorEastAsia" w:eastAsiaTheme="minorEastAsia"/>
          <w:color w:val="auto"/>
          <w:kern w:val="0"/>
          <w:sz w:val="24"/>
          <w:szCs w:val="24"/>
          <w:highlight w:val="none"/>
        </w:rPr>
        <w:t>财务报告复印件，包括资产负债表、利润表、现金流量表、所有者权益变动表（若有）及其附注（若有），上述证明材料真实有效，否则我方负全部责任。</w:t>
      </w:r>
    </w:p>
    <w:p w14:paraId="3D0034D1">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□事业单位适用：现附上我方</w:t>
      </w:r>
      <w:r>
        <w:rPr>
          <w:rFonts w:hint="eastAsia" w:cs="宋体" w:asciiTheme="minorEastAsia" w:hAnsiTheme="minorEastAsia" w:eastAsiaTheme="minorEastAsia"/>
          <w:color w:val="auto"/>
          <w:kern w:val="0"/>
          <w:sz w:val="24"/>
          <w:szCs w:val="24"/>
          <w:highlight w:val="none"/>
          <w:u w:val="single"/>
        </w:rPr>
        <w:t>（填写“具体的年度、或半年度、或季度”）</w:t>
      </w:r>
      <w:r>
        <w:rPr>
          <w:rFonts w:hint="eastAsia" w:cs="宋体" w:asciiTheme="minorEastAsia" w:hAnsiTheme="minorEastAsia" w:eastAsiaTheme="minorEastAsia"/>
          <w:color w:val="auto"/>
          <w:kern w:val="0"/>
          <w:sz w:val="24"/>
          <w:szCs w:val="24"/>
          <w:highlight w:val="none"/>
        </w:rPr>
        <w:t>财务报告复印件，包括资产负债表、收入支出表（或收入费用表）、财政补助收入支出表（若有），上述证明材料真实有效，否则我方负全部责任。</w:t>
      </w:r>
    </w:p>
    <w:p w14:paraId="701A447F">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□社会团体适用：现附上我方</w:t>
      </w:r>
      <w:r>
        <w:rPr>
          <w:rFonts w:hint="eastAsia" w:cs="宋体" w:asciiTheme="minorEastAsia" w:hAnsiTheme="minorEastAsia" w:eastAsiaTheme="minorEastAsia"/>
          <w:color w:val="auto"/>
          <w:kern w:val="0"/>
          <w:sz w:val="24"/>
          <w:szCs w:val="24"/>
          <w:highlight w:val="none"/>
          <w:u w:val="single"/>
        </w:rPr>
        <w:t>（填写“具体的年度、或半年度、或季度”）</w:t>
      </w:r>
      <w:r>
        <w:rPr>
          <w:rFonts w:hint="eastAsia" w:cs="宋体" w:asciiTheme="minorEastAsia" w:hAnsiTheme="minorEastAsia" w:eastAsiaTheme="minorEastAsia"/>
          <w:color w:val="auto"/>
          <w:kern w:val="0"/>
          <w:sz w:val="24"/>
          <w:szCs w:val="24"/>
          <w:highlight w:val="none"/>
        </w:rPr>
        <w:t>财务报告复印件，包括资产负债表、业务活动表、现金流量表，上述证明材料真实有效，否则我方负全部责任。</w:t>
      </w:r>
    </w:p>
    <w:p w14:paraId="360D0EB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）投标人提供资信证明的</w:t>
      </w:r>
    </w:p>
    <w:p w14:paraId="6B2B05EF">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14:paraId="5C9D892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□自然人适用：现附上我方银行：</w:t>
      </w:r>
      <w:r>
        <w:rPr>
          <w:rFonts w:hint="eastAsia" w:cs="宋体" w:asciiTheme="minorEastAsia" w:hAnsiTheme="minorEastAsia" w:eastAsiaTheme="minorEastAsia"/>
          <w:color w:val="auto"/>
          <w:kern w:val="0"/>
          <w:sz w:val="24"/>
          <w:szCs w:val="24"/>
          <w:highlight w:val="none"/>
          <w:u w:val="single"/>
        </w:rPr>
        <w:t>（填写自然人的“个人账户的开户银行全称”）</w:t>
      </w:r>
      <w:r>
        <w:rPr>
          <w:rFonts w:hint="eastAsia" w:cs="宋体" w:asciiTheme="minorEastAsia" w:hAnsiTheme="minorEastAsia" w:eastAsiaTheme="minorEastAsia"/>
          <w:color w:val="auto"/>
          <w:kern w:val="0"/>
          <w:sz w:val="24"/>
          <w:szCs w:val="24"/>
          <w:highlight w:val="none"/>
        </w:rPr>
        <w:t>出具的资信证明复印件，上述证明材料真实有效，否则我方负全部责任。</w:t>
      </w:r>
    </w:p>
    <w:p w14:paraId="3691E97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）投标人提供投标担保函的</w:t>
      </w:r>
    </w:p>
    <w:p w14:paraId="2EAD3CAA">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现附上由财政部门认可的采购专业担保机构：</w:t>
      </w:r>
      <w:r>
        <w:rPr>
          <w:rFonts w:hint="eastAsia" w:cs="宋体" w:asciiTheme="minorEastAsia" w:hAnsiTheme="minorEastAsia" w:eastAsiaTheme="minorEastAsia"/>
          <w:color w:val="auto"/>
          <w:kern w:val="0"/>
          <w:sz w:val="24"/>
          <w:szCs w:val="24"/>
          <w:highlight w:val="none"/>
          <w:u w:val="single"/>
        </w:rPr>
        <w:t>（填写“担保机构全称”）</w:t>
      </w:r>
      <w:r>
        <w:rPr>
          <w:rFonts w:hint="eastAsia" w:cs="宋体" w:asciiTheme="minorEastAsia" w:hAnsiTheme="minorEastAsia" w:eastAsiaTheme="minorEastAsia"/>
          <w:color w:val="auto"/>
          <w:kern w:val="0"/>
          <w:sz w:val="24"/>
          <w:szCs w:val="24"/>
          <w:highlight w:val="none"/>
        </w:rPr>
        <w:t>出具的投标担保函复印件，上述证明材料真实有效，否则我方负全部责任。</w:t>
      </w:r>
    </w:p>
    <w:p w14:paraId="29D1E0C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3C919D5F">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686364A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、请投标人按照实际情况编制填写，在相应的（）中打“√”并选择相应的“□”（若有）后，再按照本格式的要求提供相应证明材料的复印件。</w:t>
      </w:r>
    </w:p>
    <w:p w14:paraId="66BAB1E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、投标人提供的财务报告复印件（成立年限按照投标截止时间推算）应符合下列规定：</w:t>
      </w:r>
    </w:p>
    <w:p w14:paraId="442C2310">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2.1</w:t>
      </w:r>
      <w:r>
        <w:rPr>
          <w:rFonts w:hint="eastAsia" w:cs="宋体" w:asciiTheme="minorEastAsia" w:hAnsiTheme="minorEastAsia" w:eastAsiaTheme="minorEastAsia"/>
          <w:color w:val="auto"/>
          <w:kern w:val="0"/>
          <w:sz w:val="24"/>
          <w:szCs w:val="24"/>
          <w:highlight w:val="none"/>
        </w:rPr>
        <w:t>成立年限满</w:t>
      </w: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年及以上的投标人，提供经审计的上一年度的年度财务报告。</w:t>
      </w:r>
    </w:p>
    <w:p w14:paraId="4236C8A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2.2</w:t>
      </w:r>
      <w:r>
        <w:rPr>
          <w:rFonts w:hint="eastAsia" w:cs="宋体" w:asciiTheme="minorEastAsia" w:hAnsiTheme="minorEastAsia" w:eastAsiaTheme="minorEastAsia"/>
          <w:color w:val="auto"/>
          <w:kern w:val="0"/>
          <w:sz w:val="24"/>
          <w:szCs w:val="24"/>
          <w:highlight w:val="none"/>
        </w:rPr>
        <w:t>成立年限满半年但不足</w:t>
      </w: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年的投标人，提供该半年度中任一季度的季度财务报告或该半年度的半年度财务报告。</w:t>
      </w:r>
    </w:p>
    <w:p w14:paraId="3BF09B0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※无法按照本格式第</w:t>
      </w:r>
      <w:r>
        <w:rPr>
          <w:rFonts w:cs="宋体" w:asciiTheme="minorEastAsia" w:hAnsiTheme="minorEastAsia" w:eastAsiaTheme="minorEastAsia"/>
          <w:b/>
          <w:bCs/>
          <w:color w:val="auto"/>
          <w:kern w:val="0"/>
          <w:sz w:val="24"/>
          <w:szCs w:val="24"/>
          <w:highlight w:val="none"/>
        </w:rPr>
        <w:t>2.1</w:t>
      </w:r>
      <w:r>
        <w:rPr>
          <w:rFonts w:hint="eastAsia" w:cs="宋体" w:asciiTheme="minorEastAsia" w:hAnsiTheme="minorEastAsia" w:eastAsiaTheme="minorEastAsia"/>
          <w:b/>
          <w:bCs/>
          <w:color w:val="auto"/>
          <w:kern w:val="0"/>
          <w:sz w:val="24"/>
          <w:szCs w:val="24"/>
          <w:highlight w:val="none"/>
        </w:rPr>
        <w:t>、</w:t>
      </w:r>
      <w:r>
        <w:rPr>
          <w:rFonts w:cs="宋体" w:asciiTheme="minorEastAsia" w:hAnsiTheme="minorEastAsia" w:eastAsiaTheme="minorEastAsia"/>
          <w:b/>
          <w:bCs/>
          <w:color w:val="auto"/>
          <w:kern w:val="0"/>
          <w:sz w:val="24"/>
          <w:szCs w:val="24"/>
          <w:highlight w:val="none"/>
        </w:rPr>
        <w:t>2.2</w:t>
      </w:r>
      <w:r>
        <w:rPr>
          <w:rFonts w:hint="eastAsia" w:cs="宋体" w:asciiTheme="minorEastAsia" w:hAnsiTheme="minorEastAsia" w:eastAsiaTheme="minorEastAsia"/>
          <w:b/>
          <w:bCs/>
          <w:color w:val="auto"/>
          <w:kern w:val="0"/>
          <w:sz w:val="24"/>
          <w:szCs w:val="24"/>
          <w:highlight w:val="none"/>
        </w:rPr>
        <w:t>条规定提供财务报告复印件的投标人（包括但不限于：成立年限满</w:t>
      </w:r>
      <w:r>
        <w:rPr>
          <w:rFonts w:cs="宋体" w:asciiTheme="minorEastAsia" w:hAnsiTheme="minorEastAsia" w:eastAsiaTheme="minorEastAsia"/>
          <w:b/>
          <w:bCs/>
          <w:color w:val="auto"/>
          <w:kern w:val="0"/>
          <w:sz w:val="24"/>
          <w:szCs w:val="24"/>
          <w:highlight w:val="none"/>
        </w:rPr>
        <w:t>1</w:t>
      </w:r>
      <w:r>
        <w:rPr>
          <w:rFonts w:hint="eastAsia" w:cs="宋体" w:asciiTheme="minorEastAsia" w:hAnsiTheme="minorEastAsia" w:eastAsiaTheme="minorEastAsia"/>
          <w:b/>
          <w:bCs/>
          <w:color w:val="auto"/>
          <w:kern w:val="0"/>
          <w:sz w:val="24"/>
          <w:szCs w:val="24"/>
          <w:highlight w:val="none"/>
        </w:rPr>
        <w:t>年及以上的投标人、成立年限满半年但不足</w:t>
      </w:r>
      <w:r>
        <w:rPr>
          <w:rFonts w:cs="宋体" w:asciiTheme="minorEastAsia" w:hAnsiTheme="minorEastAsia" w:eastAsiaTheme="minorEastAsia"/>
          <w:b/>
          <w:bCs/>
          <w:color w:val="auto"/>
          <w:kern w:val="0"/>
          <w:sz w:val="24"/>
          <w:szCs w:val="24"/>
          <w:highlight w:val="none"/>
        </w:rPr>
        <w:t>1</w:t>
      </w:r>
      <w:r>
        <w:rPr>
          <w:rFonts w:hint="eastAsia" w:cs="宋体" w:asciiTheme="minorEastAsia" w:hAnsiTheme="minorEastAsia" w:eastAsiaTheme="minorEastAsia"/>
          <w:b/>
          <w:bCs/>
          <w:color w:val="auto"/>
          <w:kern w:val="0"/>
          <w:sz w:val="24"/>
          <w:szCs w:val="24"/>
          <w:highlight w:val="none"/>
        </w:rPr>
        <w:t>年的投标人、成立年限不足半年的投标人），应按照本格式的要求选择提供资信证明复印件或投标担保函复印件，其中：非自然人的投标人选择提供资信证明的，还应附上其开户（基本存款账户）许可证复印件。</w:t>
      </w:r>
    </w:p>
    <w:p w14:paraId="10BE221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、“财政部门认可的采购专业担保机构”应符合《财政部关于开展采购信用担保试点工作方案》（财库</w:t>
      </w:r>
      <w:r>
        <w:rPr>
          <w:rFonts w:cs="宋体" w:asciiTheme="minorEastAsia" w:hAnsiTheme="minorEastAsia" w:eastAsiaTheme="minorEastAsia"/>
          <w:color w:val="auto"/>
          <w:kern w:val="0"/>
          <w:sz w:val="24"/>
          <w:szCs w:val="24"/>
          <w:highlight w:val="none"/>
        </w:rPr>
        <w:t>[2012]124</w:t>
      </w:r>
      <w:r>
        <w:rPr>
          <w:rFonts w:hint="eastAsia" w:cs="宋体" w:asciiTheme="minorEastAsia" w:hAnsiTheme="minorEastAsia" w:eastAsiaTheme="minorEastAsia"/>
          <w:color w:val="auto"/>
          <w:kern w:val="0"/>
          <w:sz w:val="24"/>
          <w:szCs w:val="24"/>
          <w:highlight w:val="none"/>
        </w:rPr>
        <w:t>号）的规定。</w:t>
      </w:r>
    </w:p>
    <w:p w14:paraId="16170F8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、投标人提供的相应证明材料复印件均应符合：内容完整、清晰、整洁，并由投标人加盖其单位公章。</w:t>
      </w:r>
    </w:p>
    <w:p w14:paraId="3AAF4EA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5798DA7">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31A866D8">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04040EB7">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5A22EA3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670AAB1">
      <w:pPr>
        <w:widowControl/>
        <w:spacing w:after="150"/>
        <w:jc w:val="center"/>
        <w:rPr>
          <w:rFonts w:cs="宋体" w:asciiTheme="minorEastAsia" w:hAnsiTheme="minorEastAsia" w:eastAsiaTheme="minorEastAsia"/>
          <w:color w:val="auto"/>
          <w:kern w:val="0"/>
          <w:sz w:val="24"/>
          <w:szCs w:val="24"/>
          <w:highlight w:val="none"/>
        </w:rPr>
      </w:pPr>
    </w:p>
    <w:p w14:paraId="1030B29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-4</w:t>
      </w:r>
      <w:r>
        <w:rPr>
          <w:rFonts w:hint="eastAsia" w:cs="宋体" w:asciiTheme="minorEastAsia" w:hAnsiTheme="minorEastAsia" w:eastAsiaTheme="minorEastAsia"/>
          <w:b/>
          <w:bCs/>
          <w:color w:val="auto"/>
          <w:kern w:val="0"/>
          <w:sz w:val="24"/>
          <w:szCs w:val="24"/>
          <w:highlight w:val="none"/>
        </w:rPr>
        <w:t>依法缴纳税收证明材料</w:t>
      </w:r>
    </w:p>
    <w:p w14:paraId="1021ADF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2303C0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40B4771E">
      <w:pPr>
        <w:widowControl/>
        <w:spacing w:after="150"/>
        <w:ind w:firstLine="42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、依法缴纳税收的投标人</w:t>
      </w:r>
    </w:p>
    <w:p w14:paraId="5264782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）法人（包括企业、事业单位和社会团体）的</w:t>
      </w:r>
    </w:p>
    <w:p w14:paraId="4747A605">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现附上自</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日至</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日期间我方缴纳的</w:t>
      </w:r>
      <w:r>
        <w:rPr>
          <w:rFonts w:hint="eastAsia" w:cs="宋体" w:asciiTheme="minorEastAsia" w:hAnsiTheme="minorEastAsia" w:eastAsiaTheme="minorEastAsia"/>
          <w:color w:val="auto"/>
          <w:kern w:val="0"/>
          <w:sz w:val="24"/>
          <w:szCs w:val="24"/>
          <w:highlight w:val="none"/>
          <w:u w:val="single"/>
        </w:rPr>
        <w:t>（按照投标人实际缴纳的税种名称填写，如：增值税、所得税等）</w:t>
      </w:r>
      <w:r>
        <w:rPr>
          <w:rFonts w:hint="eastAsia" w:cs="宋体" w:asciiTheme="minorEastAsia" w:hAnsiTheme="minorEastAsia" w:eastAsiaTheme="minorEastAsia"/>
          <w:color w:val="auto"/>
          <w:kern w:val="0"/>
          <w:sz w:val="24"/>
          <w:szCs w:val="24"/>
          <w:highlight w:val="none"/>
        </w:rPr>
        <w:t>税收凭据复印件，上述证明材料真实有效，否则我方负全部责任。</w:t>
      </w:r>
    </w:p>
    <w:p w14:paraId="3AA14BD9">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）非法人（包括其他组织、自然人）的</w:t>
      </w:r>
    </w:p>
    <w:p w14:paraId="0CB977A6">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现附上自</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日至</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日期间我方缴纳的</w:t>
      </w:r>
      <w:r>
        <w:rPr>
          <w:rFonts w:hint="eastAsia" w:cs="宋体" w:asciiTheme="minorEastAsia" w:hAnsiTheme="minorEastAsia" w:eastAsiaTheme="minorEastAsia"/>
          <w:color w:val="auto"/>
          <w:kern w:val="0"/>
          <w:sz w:val="24"/>
          <w:szCs w:val="24"/>
          <w:highlight w:val="none"/>
          <w:u w:val="single"/>
        </w:rPr>
        <w:t>（按照投标人实际缴纳的税种名称填写）</w:t>
      </w:r>
      <w:r>
        <w:rPr>
          <w:rFonts w:hint="eastAsia" w:cs="宋体" w:asciiTheme="minorEastAsia" w:hAnsiTheme="minorEastAsia" w:eastAsiaTheme="minorEastAsia"/>
          <w:color w:val="auto"/>
          <w:kern w:val="0"/>
          <w:sz w:val="24"/>
          <w:szCs w:val="24"/>
          <w:highlight w:val="none"/>
        </w:rPr>
        <w:t>税收凭据复印件，上述证明材料真实有效，否则我方负全部责任。</w:t>
      </w:r>
    </w:p>
    <w:p w14:paraId="2E0AC832">
      <w:pPr>
        <w:widowControl/>
        <w:spacing w:after="150"/>
        <w:ind w:firstLine="42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、依法免税的投标人</w:t>
      </w:r>
    </w:p>
    <w:p w14:paraId="77E1C5FE">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）现附上我方依法免税证明材料复印件，上述证明材料真实有效，否则我方负全部责任。</w:t>
      </w:r>
    </w:p>
    <w:p w14:paraId="05E6774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30A376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23865F9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、请投标人按照实际情况编制填写，在相应的（）中打“√”，并按照本格式的要求提供相应证明材料的复印件。</w:t>
      </w:r>
    </w:p>
    <w:p w14:paraId="6473E20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、投标人提供的税收凭据复印件应符合下列规定：</w:t>
      </w:r>
    </w:p>
    <w:p w14:paraId="74324DC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2.1</w:t>
      </w:r>
      <w:r>
        <w:rPr>
          <w:rFonts w:hint="eastAsia" w:cs="宋体" w:asciiTheme="minorEastAsia" w:hAnsiTheme="minorEastAsia" w:eastAsiaTheme="minorEastAsia"/>
          <w:color w:val="auto"/>
          <w:kern w:val="0"/>
          <w:sz w:val="24"/>
          <w:szCs w:val="24"/>
          <w:highlight w:val="none"/>
        </w:rPr>
        <w:t>投标截止时间前（不含投标截止时间的当月）已依法缴纳税收的投标人，提供投标截止时间前六个月（不含投标截止时间的当月）中任一月份的税收凭据复印件。</w:t>
      </w:r>
    </w:p>
    <w:p w14:paraId="042ADCB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2.2</w:t>
      </w:r>
      <w:r>
        <w:rPr>
          <w:rFonts w:hint="eastAsia" w:cs="宋体" w:asciiTheme="minorEastAsia" w:hAnsiTheme="minorEastAsia" w:eastAsiaTheme="minorEastAsia"/>
          <w:color w:val="auto"/>
          <w:kern w:val="0"/>
          <w:sz w:val="24"/>
          <w:szCs w:val="24"/>
          <w:highlight w:val="none"/>
        </w:rPr>
        <w:t>投标截止时间的当月成立且已依法缴纳税收的投标人，提供投标截止时间当月的税收凭据复印件。</w:t>
      </w:r>
    </w:p>
    <w:p w14:paraId="20632DC0">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2.3</w:t>
      </w:r>
      <w:r>
        <w:rPr>
          <w:rFonts w:hint="eastAsia" w:cs="宋体" w:asciiTheme="minorEastAsia" w:hAnsiTheme="minorEastAsia" w:eastAsiaTheme="minorEastAsia"/>
          <w:color w:val="auto"/>
          <w:kern w:val="0"/>
          <w:sz w:val="24"/>
          <w:szCs w:val="24"/>
          <w:highlight w:val="none"/>
        </w:rPr>
        <w:t>投标截止时间的当月成立但因税务机关原因导致其尚未依法缴纳税收的投标人，提供依法缴纳税收承诺书原件（格式自拟），该承诺书视同税收凭据。</w:t>
      </w:r>
    </w:p>
    <w:p w14:paraId="6979CA7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b/>
          <w:bCs/>
          <w:color w:val="auto"/>
          <w:kern w:val="0"/>
          <w:sz w:val="24"/>
          <w:szCs w:val="24"/>
          <w:highlight w:val="none"/>
        </w:rPr>
        <w:t>“依法缴纳税收证明材料”</w:t>
      </w:r>
      <w:r>
        <w:rPr>
          <w:rFonts w:hint="eastAsia" w:cs="宋体" w:asciiTheme="minorEastAsia" w:hAnsiTheme="minorEastAsia" w:eastAsiaTheme="minorEastAsia"/>
          <w:color w:val="auto"/>
          <w:kern w:val="0"/>
          <w:sz w:val="24"/>
          <w:szCs w:val="24"/>
          <w:highlight w:val="none"/>
        </w:rPr>
        <w:t>有欠缴记录的，视为</w:t>
      </w:r>
      <w:r>
        <w:rPr>
          <w:rFonts w:hint="eastAsia" w:cs="宋体" w:asciiTheme="minorEastAsia" w:hAnsiTheme="minorEastAsia" w:eastAsiaTheme="minorEastAsia"/>
          <w:b/>
          <w:bCs/>
          <w:color w:val="auto"/>
          <w:kern w:val="0"/>
          <w:sz w:val="24"/>
          <w:szCs w:val="24"/>
          <w:highlight w:val="none"/>
        </w:rPr>
        <w:t>未依法缴纳税收。</w:t>
      </w:r>
    </w:p>
    <w:p w14:paraId="3BB027C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、投标人提供的相应证明材料复印件均应符合：内容完整、清晰、整洁，并由投标人加盖其单位公章。</w:t>
      </w:r>
    </w:p>
    <w:p w14:paraId="2EB12D50">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3E85AB8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1201A7B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43B7480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1AA4968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3EC6C5A">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-5</w:t>
      </w:r>
      <w:r>
        <w:rPr>
          <w:rFonts w:hint="eastAsia" w:cs="宋体" w:asciiTheme="minorEastAsia" w:hAnsiTheme="minorEastAsia" w:eastAsiaTheme="minorEastAsia"/>
          <w:b/>
          <w:bCs/>
          <w:color w:val="auto"/>
          <w:kern w:val="0"/>
          <w:sz w:val="24"/>
          <w:szCs w:val="24"/>
          <w:highlight w:val="none"/>
        </w:rPr>
        <w:t>依法缴纳社会保障资金证明材料</w:t>
      </w:r>
    </w:p>
    <w:p w14:paraId="0FE9D49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3298875">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608024D8">
      <w:pPr>
        <w:widowControl/>
        <w:spacing w:after="150"/>
        <w:ind w:firstLine="42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、依法缴纳社会保障资金的投标人</w:t>
      </w:r>
    </w:p>
    <w:p w14:paraId="279B3B5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）法人（包括企业、事业单位和社会团体）的</w:t>
      </w:r>
    </w:p>
    <w:p w14:paraId="6EA6143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现附上自</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日至</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日我方缴纳的社会保险凭据（限：税务机关</w:t>
      </w:r>
      <w:r>
        <w:rPr>
          <w:rFonts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rPr>
        <w:t>社会保障资金管理机关的专用收据或社会保险缴纳清单，或社会保险的银行缴款收讫凭证）复印件，上述证明材料真实有效，否则我方负全部责任。</w:t>
      </w:r>
    </w:p>
    <w:p w14:paraId="5FCE7BB8">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）非法人（包括其他组织、自然人）的</w:t>
      </w:r>
    </w:p>
    <w:p w14:paraId="5A912DE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自</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日至</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日我方缴纳的社会保险凭据（限：税务机关</w:t>
      </w:r>
      <w:r>
        <w:rPr>
          <w:rFonts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rPr>
        <w:t>社会保障资金管理机关的专用收据或社会保险缴纳清单，或社会保险的银行缴款收讫凭证）复印件，上述证明材料真实有效，否则我方负全部责任。</w:t>
      </w:r>
    </w:p>
    <w:p w14:paraId="560BECCF">
      <w:pPr>
        <w:widowControl/>
        <w:spacing w:after="150"/>
        <w:ind w:firstLine="42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、依法不需要缴纳社会保障资金的投标人</w:t>
      </w:r>
    </w:p>
    <w:p w14:paraId="723E8FB3">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）现附上我方依法不需要缴纳社会保障资金证明材料复印件，上述证明材料真实有效，否则我方负全部责任。</w:t>
      </w:r>
    </w:p>
    <w:p w14:paraId="28F61A4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ACA76C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1F57C452">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、请投标人按照实际情况编制填写，在相应的（）中打“√”，并按照本格式的要求提供相应证明材料的复印件。</w:t>
      </w:r>
    </w:p>
    <w:p w14:paraId="697FE7D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、投标人提供的社会保险凭据复印件应符合下列规定：</w:t>
      </w:r>
    </w:p>
    <w:p w14:paraId="75A703E2">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2.1</w:t>
      </w:r>
      <w:r>
        <w:rPr>
          <w:rFonts w:hint="eastAsia" w:cs="宋体" w:asciiTheme="minorEastAsia" w:hAnsiTheme="minorEastAsia" w:eastAsiaTheme="minorEastAsia"/>
          <w:color w:val="auto"/>
          <w:kern w:val="0"/>
          <w:sz w:val="24"/>
          <w:szCs w:val="24"/>
          <w:highlight w:val="none"/>
        </w:rPr>
        <w:t>投标截止时间前（不含投标截止时间的当月）已依法缴纳社会保障资金的投标人，提供投标截止时间前六个月（不含投标截止时间的当月）中任一月份的社会保险凭据复印件。</w:t>
      </w:r>
    </w:p>
    <w:p w14:paraId="1AF4E79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2.2</w:t>
      </w:r>
      <w:r>
        <w:rPr>
          <w:rFonts w:hint="eastAsia" w:cs="宋体" w:asciiTheme="minorEastAsia" w:hAnsiTheme="minorEastAsia" w:eastAsiaTheme="minorEastAsia"/>
          <w:color w:val="auto"/>
          <w:kern w:val="0"/>
          <w:sz w:val="24"/>
          <w:szCs w:val="24"/>
          <w:highlight w:val="none"/>
        </w:rPr>
        <w:t>投标截止时间的当月成立且已依法缴纳社会保障资金的投标人，提供投标截止时间当月的社会保险凭据复印件。</w:t>
      </w:r>
    </w:p>
    <w:p w14:paraId="48D354B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2.3</w:t>
      </w:r>
      <w:r>
        <w:rPr>
          <w:rFonts w:hint="eastAsia" w:cs="宋体" w:asciiTheme="minorEastAsia" w:hAnsiTheme="minorEastAsia" w:eastAsiaTheme="minorEastAsia"/>
          <w:color w:val="auto"/>
          <w:kern w:val="0"/>
          <w:sz w:val="24"/>
          <w:szCs w:val="24"/>
          <w:highlight w:val="none"/>
        </w:rPr>
        <w:t>投标截止时间的当月成立但因税务机关</w:t>
      </w:r>
      <w:r>
        <w:rPr>
          <w:rFonts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color w:val="auto"/>
          <w:kern w:val="0"/>
          <w:sz w:val="24"/>
          <w:szCs w:val="24"/>
          <w:highlight w:val="none"/>
        </w:rPr>
        <w:t>社会保障资金管理机关原因导致其尚未依法缴纳社会保障资金的投标人，提供依法缴纳社会保障资金承诺书原件（格式自拟），该承诺书视同社会保险凭据。</w:t>
      </w:r>
    </w:p>
    <w:p w14:paraId="79915AD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w:t>
      </w:r>
      <w:r>
        <w:rPr>
          <w:rFonts w:hint="eastAsia" w:cs="宋体" w:asciiTheme="minorEastAsia" w:hAnsiTheme="minorEastAsia" w:eastAsiaTheme="minorEastAsia"/>
          <w:b/>
          <w:bCs/>
          <w:color w:val="auto"/>
          <w:kern w:val="0"/>
          <w:sz w:val="24"/>
          <w:szCs w:val="24"/>
          <w:highlight w:val="none"/>
        </w:rPr>
        <w:t>“依法缴纳社会保障资金证明材料”</w:t>
      </w:r>
      <w:r>
        <w:rPr>
          <w:rFonts w:hint="eastAsia" w:cs="宋体" w:asciiTheme="minorEastAsia" w:hAnsiTheme="minorEastAsia" w:eastAsiaTheme="minorEastAsia"/>
          <w:color w:val="auto"/>
          <w:kern w:val="0"/>
          <w:sz w:val="24"/>
          <w:szCs w:val="24"/>
          <w:highlight w:val="none"/>
        </w:rPr>
        <w:t>有欠缴记录的，视为</w:t>
      </w:r>
      <w:r>
        <w:rPr>
          <w:rFonts w:hint="eastAsia" w:cs="宋体" w:asciiTheme="minorEastAsia" w:hAnsiTheme="minorEastAsia" w:eastAsiaTheme="minorEastAsia"/>
          <w:b/>
          <w:bCs/>
          <w:color w:val="auto"/>
          <w:kern w:val="0"/>
          <w:sz w:val="24"/>
          <w:szCs w:val="24"/>
          <w:highlight w:val="none"/>
        </w:rPr>
        <w:t>未依法缴纳社会保障资金。</w:t>
      </w:r>
    </w:p>
    <w:p w14:paraId="685886A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、投标人提供的相应证明材料复印件均应符合：内容完整、清晰、整洁，并由投标人加盖其单位公章。</w:t>
      </w:r>
    </w:p>
    <w:p w14:paraId="40BF43A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2AD5404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22B1164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5C49669E">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51540CB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3999D5DF">
      <w:pPr>
        <w:widowControl/>
        <w:spacing w:after="150"/>
        <w:jc w:val="center"/>
        <w:rPr>
          <w:rFonts w:cs="宋体" w:asciiTheme="minorEastAsia" w:hAnsiTheme="minorEastAsia" w:eastAsiaTheme="minorEastAsia"/>
          <w:color w:val="auto"/>
          <w:kern w:val="0"/>
          <w:sz w:val="24"/>
          <w:szCs w:val="24"/>
          <w:highlight w:val="none"/>
        </w:rPr>
      </w:pPr>
    </w:p>
    <w:p w14:paraId="05C3BDB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w:t>
      </w:r>
      <w:r>
        <w:rPr>
          <w:rFonts w:hint="eastAsia" w:cs="宋体" w:asciiTheme="minorEastAsia" w:hAnsiTheme="minorEastAsia" w:eastAsiaTheme="minorEastAsia"/>
          <w:b/>
          <w:bCs/>
          <w:color w:val="auto"/>
          <w:kern w:val="0"/>
          <w:sz w:val="24"/>
          <w:szCs w:val="24"/>
          <w:highlight w:val="none"/>
        </w:rPr>
        <w:t>6参加采购活动前三年内在经营活动中没有重大违法记录书面声明</w:t>
      </w:r>
    </w:p>
    <w:p w14:paraId="293C102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9D2367B">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64C55BBE">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参加采购活动前三年内，我方在经营活动中没有重大违法记录，也无行贿犯罪记录，即没有因违法经营受到刑事处罚或责令停产停业、吊销许可证或执照、较大数额罚款等行政处罚。否则产生不利后果由我方承担责任。</w:t>
      </w:r>
    </w:p>
    <w:p w14:paraId="1CFAB7BE">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特此声明。</w:t>
      </w:r>
    </w:p>
    <w:p w14:paraId="3DB7995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EF1594D">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08686F5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、“重大违法记录”指投标人因违法经营受到刑事处罚或责令停产停业、吊销许可证或执照、较大数额罚款等行政处罚。</w:t>
      </w:r>
    </w:p>
    <w:p w14:paraId="25A9A6E7">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、投标文件正本中的本声明应为原件。</w:t>
      </w:r>
    </w:p>
    <w:p w14:paraId="0C3EB00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、请投标人根据实际情况如实声明，否则</w:t>
      </w:r>
      <w:r>
        <w:rPr>
          <w:rFonts w:hint="eastAsia" w:cs="宋体" w:asciiTheme="minorEastAsia" w:hAnsiTheme="minorEastAsia" w:eastAsiaTheme="minorEastAsia"/>
          <w:b/>
          <w:bCs/>
          <w:color w:val="auto"/>
          <w:kern w:val="0"/>
          <w:sz w:val="24"/>
          <w:szCs w:val="24"/>
          <w:highlight w:val="none"/>
        </w:rPr>
        <w:t>视为提供虚假材料。</w:t>
      </w:r>
    </w:p>
    <w:p w14:paraId="28DBC9D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D413EE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475F4A3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38A2C3F8">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2ABCE622">
      <w:pPr>
        <w:widowControl/>
        <w:spacing w:after="150"/>
        <w:jc w:val="center"/>
        <w:rPr>
          <w:rFonts w:cs="宋体" w:asciiTheme="minorEastAsia" w:hAnsiTheme="minorEastAsia" w:eastAsiaTheme="minorEastAsia"/>
          <w:b/>
          <w:bCs/>
          <w:color w:val="auto"/>
          <w:kern w:val="0"/>
          <w:sz w:val="24"/>
          <w:szCs w:val="24"/>
          <w:highlight w:val="none"/>
        </w:rPr>
      </w:pPr>
    </w:p>
    <w:p w14:paraId="3494B7EE">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w:t>
      </w:r>
      <w:r>
        <w:rPr>
          <w:rFonts w:hint="eastAsia" w:cs="宋体" w:asciiTheme="minorEastAsia" w:hAnsiTheme="minorEastAsia" w:eastAsiaTheme="minorEastAsia"/>
          <w:b/>
          <w:bCs/>
          <w:color w:val="auto"/>
          <w:kern w:val="0"/>
          <w:sz w:val="24"/>
          <w:szCs w:val="24"/>
          <w:highlight w:val="none"/>
        </w:rPr>
        <w:t>7检察机关行贿犯罪档案查询结果告知函</w:t>
      </w:r>
    </w:p>
    <w:p w14:paraId="13B32EB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8D696CA">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检察机关行贿犯罪档案查询结果告知函（以下简称：“告知函”）由投标人向住所地或业务发生地检察院申请查询，具体以检察院出具的为准。</w:t>
      </w:r>
    </w:p>
    <w:p w14:paraId="452F903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6F62E19E">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1E3ECF7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、未提供行贿犯罪档案查询结果或查询结果表明投标人有行贿犯罪记录的，</w:t>
      </w:r>
      <w:r>
        <w:rPr>
          <w:rFonts w:hint="eastAsia" w:cs="宋体" w:asciiTheme="minorEastAsia" w:hAnsiTheme="minorEastAsia" w:eastAsiaTheme="minorEastAsia"/>
          <w:b/>
          <w:bCs/>
          <w:color w:val="auto"/>
          <w:kern w:val="0"/>
          <w:sz w:val="24"/>
          <w:szCs w:val="24"/>
          <w:highlight w:val="none"/>
        </w:rPr>
        <w:t>投标无效。</w:t>
      </w:r>
    </w:p>
    <w:p w14:paraId="183C358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、若从检察机关指定网站下载打印或截图告知函，则告知函应为从前述指定网站获取的查询结果原始页面的打印件（或截图），否则</w:t>
      </w:r>
      <w:r>
        <w:rPr>
          <w:rFonts w:hint="eastAsia" w:cs="宋体" w:asciiTheme="minorEastAsia" w:hAnsiTheme="minorEastAsia" w:eastAsiaTheme="minorEastAsia"/>
          <w:b/>
          <w:bCs/>
          <w:color w:val="auto"/>
          <w:kern w:val="0"/>
          <w:sz w:val="24"/>
          <w:szCs w:val="24"/>
          <w:highlight w:val="none"/>
        </w:rPr>
        <w:t>投标无效。</w:t>
      </w:r>
    </w:p>
    <w:p w14:paraId="62AC9AB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、告知函应在有效期内且内容完整、清晰、整洁，否则</w:t>
      </w:r>
      <w:r>
        <w:rPr>
          <w:rFonts w:hint="eastAsia" w:cs="宋体" w:asciiTheme="minorEastAsia" w:hAnsiTheme="minorEastAsia" w:eastAsiaTheme="minorEastAsia"/>
          <w:b/>
          <w:bCs/>
          <w:color w:val="auto"/>
          <w:kern w:val="0"/>
          <w:sz w:val="24"/>
          <w:szCs w:val="24"/>
          <w:highlight w:val="none"/>
        </w:rPr>
        <w:t>投标无效。</w:t>
      </w:r>
    </w:p>
    <w:p w14:paraId="3A1FF3E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、有效期内的告知函复印件（含扫描件）及符合招标文件第七章规定的打印件（或截图），无论内容中是否注明“复印件无效”，</w:t>
      </w:r>
      <w:r>
        <w:rPr>
          <w:rFonts w:hint="eastAsia" w:cs="宋体" w:asciiTheme="minorEastAsia" w:hAnsiTheme="minorEastAsia" w:eastAsiaTheme="minorEastAsia"/>
          <w:b/>
          <w:bCs/>
          <w:color w:val="auto"/>
          <w:kern w:val="0"/>
          <w:sz w:val="24"/>
          <w:szCs w:val="24"/>
          <w:highlight w:val="none"/>
        </w:rPr>
        <w:t>均视同有效。</w:t>
      </w:r>
    </w:p>
    <w:p w14:paraId="6B32E8B7">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5</w:t>
      </w:r>
      <w:r>
        <w:rPr>
          <w:rFonts w:hint="eastAsia" w:cs="宋体" w:asciiTheme="minorEastAsia" w:hAnsiTheme="minorEastAsia" w:eastAsiaTheme="minorEastAsia"/>
          <w:color w:val="auto"/>
          <w:kern w:val="0"/>
          <w:sz w:val="24"/>
          <w:szCs w:val="24"/>
          <w:highlight w:val="none"/>
        </w:rPr>
        <w:t>、无法获取有效期内检察机关行贿犯罪档案查询结果告知函的，应在《参加采购活动前三年内在经营活动中没有重大违法记录书面声明》中对近三年无行贿犯罪记录进行声明。</w:t>
      </w:r>
    </w:p>
    <w:p w14:paraId="22DAE147">
      <w:pPr>
        <w:widowControl/>
        <w:spacing w:after="150"/>
        <w:jc w:val="center"/>
        <w:rPr>
          <w:rFonts w:cs="宋体" w:asciiTheme="minorEastAsia" w:hAnsiTheme="minorEastAsia" w:eastAsiaTheme="minorEastAsia"/>
          <w:color w:val="auto"/>
          <w:kern w:val="0"/>
          <w:sz w:val="24"/>
          <w:szCs w:val="24"/>
          <w:highlight w:val="none"/>
        </w:rPr>
      </w:pPr>
    </w:p>
    <w:p w14:paraId="52C7EEB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E4D24D7">
      <w:pPr>
        <w:widowControl/>
        <w:spacing w:after="150"/>
        <w:jc w:val="center"/>
        <w:rPr>
          <w:rFonts w:cs="宋体" w:asciiTheme="minorEastAsia" w:hAnsiTheme="minorEastAsia" w:eastAsiaTheme="minorEastAsia"/>
          <w:color w:val="auto"/>
          <w:kern w:val="0"/>
          <w:sz w:val="24"/>
          <w:szCs w:val="24"/>
          <w:highlight w:val="none"/>
        </w:rPr>
      </w:pPr>
    </w:p>
    <w:p w14:paraId="26C84A73">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-8</w:t>
      </w:r>
      <w:r>
        <w:rPr>
          <w:rFonts w:hint="eastAsia" w:cs="宋体" w:asciiTheme="minorEastAsia" w:hAnsiTheme="minorEastAsia" w:eastAsiaTheme="minorEastAsia"/>
          <w:b/>
          <w:bCs/>
          <w:color w:val="auto"/>
          <w:kern w:val="0"/>
          <w:sz w:val="24"/>
          <w:szCs w:val="24"/>
          <w:highlight w:val="none"/>
        </w:rPr>
        <w:t>信用记录查询结果</w:t>
      </w:r>
    </w:p>
    <w:p w14:paraId="5F8DF0CE">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3773D97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58B77380">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现附上截至</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时我方通过“信用中国”网站（</w:t>
      </w:r>
      <w:r>
        <w:rPr>
          <w:rFonts w:cs="宋体" w:asciiTheme="minorEastAsia" w:hAnsiTheme="minorEastAsia" w:eastAsiaTheme="minorEastAsia"/>
          <w:color w:val="auto"/>
          <w:kern w:val="0"/>
          <w:sz w:val="24"/>
          <w:szCs w:val="24"/>
          <w:highlight w:val="none"/>
        </w:rPr>
        <w:t>www.creditchina.gov.cn</w:t>
      </w:r>
      <w:r>
        <w:rPr>
          <w:rFonts w:hint="eastAsia" w:cs="宋体" w:asciiTheme="minorEastAsia" w:hAnsiTheme="minorEastAsia" w:eastAsiaTheme="minorEastAsia"/>
          <w:color w:val="auto"/>
          <w:kern w:val="0"/>
          <w:sz w:val="24"/>
          <w:szCs w:val="24"/>
          <w:highlight w:val="none"/>
        </w:rPr>
        <w:t>）获取的我方信用信息查询结果</w:t>
      </w:r>
      <w:r>
        <w:rPr>
          <w:rFonts w:hint="eastAsia" w:cs="宋体" w:asciiTheme="minorEastAsia" w:hAnsiTheme="minorEastAsia" w:eastAsiaTheme="minorEastAsia"/>
          <w:color w:val="auto"/>
          <w:kern w:val="0"/>
          <w:sz w:val="24"/>
          <w:szCs w:val="24"/>
          <w:highlight w:val="none"/>
          <w:u w:val="single"/>
        </w:rPr>
        <w:t>（填写具体份数）</w:t>
      </w:r>
      <w:r>
        <w:rPr>
          <w:rFonts w:hint="eastAsia" w:cs="宋体" w:asciiTheme="minorEastAsia" w:hAnsiTheme="minorEastAsia" w:eastAsiaTheme="minorEastAsia"/>
          <w:color w:val="auto"/>
          <w:kern w:val="0"/>
          <w:sz w:val="24"/>
          <w:szCs w:val="24"/>
          <w:highlight w:val="none"/>
        </w:rPr>
        <w:t>份、通过中国政府采购网（</w:t>
      </w:r>
      <w:r>
        <w:rPr>
          <w:rFonts w:cs="宋体" w:asciiTheme="minorEastAsia" w:hAnsiTheme="minorEastAsia" w:eastAsiaTheme="minorEastAsia"/>
          <w:color w:val="auto"/>
          <w:kern w:val="0"/>
          <w:sz w:val="24"/>
          <w:szCs w:val="24"/>
          <w:highlight w:val="none"/>
        </w:rPr>
        <w:t>www.ccgp.gov.cn</w:t>
      </w:r>
      <w:r>
        <w:rPr>
          <w:rFonts w:hint="eastAsia" w:cs="宋体" w:asciiTheme="minorEastAsia" w:hAnsiTheme="minorEastAsia" w:eastAsiaTheme="minorEastAsia"/>
          <w:color w:val="auto"/>
          <w:kern w:val="0"/>
          <w:sz w:val="24"/>
          <w:szCs w:val="24"/>
          <w:highlight w:val="none"/>
        </w:rPr>
        <w:t>）获取的我方信用信息查询结果</w:t>
      </w:r>
      <w:r>
        <w:rPr>
          <w:rFonts w:hint="eastAsia" w:cs="宋体" w:asciiTheme="minorEastAsia" w:hAnsiTheme="minorEastAsia" w:eastAsiaTheme="minorEastAsia"/>
          <w:color w:val="auto"/>
          <w:kern w:val="0"/>
          <w:sz w:val="24"/>
          <w:szCs w:val="24"/>
          <w:highlight w:val="none"/>
          <w:u w:val="single"/>
        </w:rPr>
        <w:t>（填写具体份数）</w:t>
      </w:r>
      <w:r>
        <w:rPr>
          <w:rFonts w:hint="eastAsia" w:cs="宋体" w:asciiTheme="minorEastAsia" w:hAnsiTheme="minorEastAsia" w:eastAsiaTheme="minorEastAsia"/>
          <w:color w:val="auto"/>
          <w:kern w:val="0"/>
          <w:sz w:val="24"/>
          <w:szCs w:val="24"/>
          <w:highlight w:val="none"/>
        </w:rPr>
        <w:t>份，上述信用信息查询结果真实有效，否则我方负全部责任。</w:t>
      </w:r>
    </w:p>
    <w:p w14:paraId="7108347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5311972A">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309B3EF7">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投标人应在招标文件要求的截止时点前分别通过“信用中国”网站（</w:t>
      </w:r>
      <w:r>
        <w:rPr>
          <w:rFonts w:cs="宋体" w:asciiTheme="minorEastAsia" w:hAnsiTheme="minorEastAsia" w:eastAsiaTheme="minorEastAsia"/>
          <w:color w:val="auto"/>
          <w:kern w:val="0"/>
          <w:sz w:val="24"/>
          <w:szCs w:val="24"/>
          <w:highlight w:val="none"/>
        </w:rPr>
        <w:t>www.creditchina.gov.cn</w:t>
      </w:r>
      <w:r>
        <w:rPr>
          <w:rFonts w:hint="eastAsia" w:cs="宋体" w:asciiTheme="minorEastAsia" w:hAnsiTheme="minorEastAsia" w:eastAsiaTheme="minorEastAsia"/>
          <w:color w:val="auto"/>
          <w:kern w:val="0"/>
          <w:sz w:val="24"/>
          <w:szCs w:val="24"/>
          <w:highlight w:val="none"/>
        </w:rPr>
        <w:t>）、中国政府采购网（</w:t>
      </w:r>
      <w:r>
        <w:rPr>
          <w:rFonts w:cs="宋体" w:asciiTheme="minorEastAsia" w:hAnsiTheme="minorEastAsia" w:eastAsiaTheme="minorEastAsia"/>
          <w:color w:val="auto"/>
          <w:kern w:val="0"/>
          <w:sz w:val="24"/>
          <w:szCs w:val="24"/>
          <w:highlight w:val="none"/>
        </w:rPr>
        <w:t>www.ccgp.gov.cn</w:t>
      </w:r>
      <w:r>
        <w:rPr>
          <w:rFonts w:hint="eastAsia" w:cs="宋体" w:asciiTheme="minorEastAsia" w:hAnsiTheme="minorEastAsia" w:eastAsiaTheme="minorEastAsia"/>
          <w:color w:val="auto"/>
          <w:kern w:val="0"/>
          <w:sz w:val="24"/>
          <w:szCs w:val="24"/>
          <w:highlight w:val="none"/>
        </w:rPr>
        <w:t>）查询并打印相应的信用记录，投标人提供的查询结果应为其通过上述网站获取的信用信息查询结果原始页面的打印件（或截图）。</w:t>
      </w:r>
    </w:p>
    <w:p w14:paraId="3DE0ABF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C8D676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2B0F7E2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299599B9">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699F8D4D">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5A3D5C54">
      <w:pPr>
        <w:widowControl/>
        <w:spacing w:after="150"/>
        <w:jc w:val="center"/>
        <w:rPr>
          <w:rFonts w:cs="宋体" w:asciiTheme="minorEastAsia" w:hAnsiTheme="minorEastAsia" w:eastAsiaTheme="minorEastAsia"/>
          <w:b/>
          <w:bCs/>
          <w:color w:val="auto"/>
          <w:kern w:val="0"/>
          <w:sz w:val="24"/>
          <w:szCs w:val="24"/>
          <w:highlight w:val="none"/>
        </w:rPr>
      </w:pPr>
    </w:p>
    <w:p w14:paraId="70209451">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w:t>
      </w:r>
      <w:r>
        <w:rPr>
          <w:rFonts w:hint="eastAsia" w:cs="宋体" w:asciiTheme="minorEastAsia" w:hAnsiTheme="minorEastAsia" w:eastAsiaTheme="minorEastAsia"/>
          <w:b/>
          <w:bCs/>
          <w:color w:val="auto"/>
          <w:kern w:val="0"/>
          <w:sz w:val="24"/>
          <w:szCs w:val="24"/>
          <w:highlight w:val="none"/>
        </w:rPr>
        <w:t>9具备履行合同所必需设备和专业技术能力的声明函（若有）</w:t>
      </w:r>
    </w:p>
    <w:p w14:paraId="6464DEA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856FA5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致：</w:t>
      </w:r>
      <w:r>
        <w:rPr>
          <w:rFonts w:cs="宋体" w:asciiTheme="minorEastAsia" w:hAnsiTheme="minorEastAsia" w:eastAsiaTheme="minorEastAsia"/>
          <w:color w:val="auto"/>
          <w:kern w:val="0"/>
          <w:sz w:val="24"/>
          <w:szCs w:val="24"/>
          <w:highlight w:val="none"/>
          <w:u w:val="single"/>
        </w:rPr>
        <w:t>                     </w:t>
      </w:r>
    </w:p>
    <w:p w14:paraId="0193A327">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我方具备履行合同所必需的设备和专业技术能力，否则产生不利后果由我方承担责任。</w:t>
      </w:r>
    </w:p>
    <w:p w14:paraId="327413B2">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特此声明。</w:t>
      </w:r>
    </w:p>
    <w:p w14:paraId="7AFB526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21AFF5D">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59E3F66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、招标文件未要求投标人提供“具备履行合同所必需的设备和专业技术能力专项证明材料”的，投标人应提供本声明函。</w:t>
      </w:r>
    </w:p>
    <w:p w14:paraId="7DB064D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、招标文件要求投标人提供“具备履行合同所必需的设备和专业技术能力专项证明材料”的，投标人可不提供本声明函。</w:t>
      </w:r>
    </w:p>
    <w:p w14:paraId="2C12799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、纸质投标文件正本中的本声明函（若有）应为原件。</w:t>
      </w:r>
    </w:p>
    <w:p w14:paraId="2DFDA821">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4</w:t>
      </w:r>
      <w:r>
        <w:rPr>
          <w:rFonts w:hint="eastAsia" w:cs="宋体" w:asciiTheme="minorEastAsia" w:hAnsiTheme="minorEastAsia" w:eastAsiaTheme="minorEastAsia"/>
          <w:color w:val="auto"/>
          <w:kern w:val="0"/>
          <w:sz w:val="24"/>
          <w:szCs w:val="24"/>
          <w:highlight w:val="none"/>
        </w:rPr>
        <w:t>、请投标人根据实际情况如实声明，否则</w:t>
      </w:r>
      <w:r>
        <w:rPr>
          <w:rFonts w:hint="eastAsia" w:cs="宋体" w:asciiTheme="minorEastAsia" w:hAnsiTheme="minorEastAsia" w:eastAsiaTheme="minorEastAsia"/>
          <w:b/>
          <w:bCs/>
          <w:color w:val="auto"/>
          <w:kern w:val="0"/>
          <w:sz w:val="24"/>
          <w:szCs w:val="24"/>
          <w:highlight w:val="none"/>
        </w:rPr>
        <w:t>视为提供虚假材料。</w:t>
      </w:r>
    </w:p>
    <w:p w14:paraId="4043527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28CC706">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56BB4D2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374AAD81">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050037E2">
      <w:pPr>
        <w:widowControl/>
        <w:spacing w:after="150"/>
        <w:jc w:val="center"/>
        <w:rPr>
          <w:rFonts w:cs="宋体" w:asciiTheme="minorEastAsia" w:hAnsiTheme="minorEastAsia" w:eastAsiaTheme="minorEastAsia"/>
          <w:color w:val="auto"/>
          <w:kern w:val="0"/>
          <w:sz w:val="24"/>
          <w:szCs w:val="24"/>
          <w:highlight w:val="none"/>
        </w:rPr>
      </w:pPr>
    </w:p>
    <w:p w14:paraId="09C9DE0C">
      <w:pPr>
        <w:widowControl/>
        <w:spacing w:after="150"/>
        <w:jc w:val="center"/>
        <w:rPr>
          <w:rFonts w:cs="宋体" w:asciiTheme="minorEastAsia" w:hAnsiTheme="minorEastAsia" w:eastAsiaTheme="minorEastAsia"/>
          <w:b/>
          <w:bCs/>
          <w:color w:val="auto"/>
          <w:kern w:val="0"/>
          <w:sz w:val="24"/>
          <w:szCs w:val="24"/>
          <w:highlight w:val="none"/>
        </w:rPr>
      </w:pPr>
    </w:p>
    <w:p w14:paraId="65E7FCE1">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二</w:t>
      </w:r>
      <w:r>
        <w:rPr>
          <w:rFonts w:cs="宋体" w:asciiTheme="minorEastAsia" w:hAnsiTheme="minorEastAsia" w:eastAsiaTheme="minorEastAsia"/>
          <w:b/>
          <w:bCs/>
          <w:color w:val="auto"/>
          <w:kern w:val="0"/>
          <w:sz w:val="24"/>
          <w:szCs w:val="24"/>
          <w:highlight w:val="none"/>
        </w:rPr>
        <w:t>-10</w:t>
      </w:r>
      <w:r>
        <w:rPr>
          <w:rFonts w:hint="eastAsia" w:cs="宋体" w:asciiTheme="minorEastAsia" w:hAnsiTheme="minorEastAsia" w:eastAsiaTheme="minorEastAsia"/>
          <w:b/>
          <w:bCs/>
          <w:color w:val="auto"/>
          <w:kern w:val="0"/>
          <w:sz w:val="24"/>
          <w:szCs w:val="24"/>
          <w:highlight w:val="none"/>
        </w:rPr>
        <w:t>招标文件规定的其他资格证明文件（若有）</w:t>
      </w:r>
    </w:p>
    <w:p w14:paraId="33E2383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b/>
          <w:bCs/>
          <w:color w:val="auto"/>
          <w:kern w:val="0"/>
          <w:sz w:val="24"/>
          <w:szCs w:val="24"/>
          <w:highlight w:val="none"/>
        </w:rPr>
        <w:t> </w:t>
      </w:r>
    </w:p>
    <w:p w14:paraId="33BEDBC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编制说明</w:t>
      </w:r>
    </w:p>
    <w:p w14:paraId="1C4B37F5">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55C95268">
      <w:pPr>
        <w:widowControl/>
        <w:spacing w:after="150"/>
        <w:ind w:firstLine="42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除招标文件另有规定外，招标文件要求提交的除前述资格证明文件外的其他资格证明文件（若有）加盖投标人的单位公章后应在此项下提交。</w:t>
      </w:r>
    </w:p>
    <w:p w14:paraId="6EF01830">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b/>
          <w:bCs/>
          <w:color w:val="auto"/>
          <w:kern w:val="0"/>
          <w:sz w:val="24"/>
          <w:szCs w:val="24"/>
          <w:highlight w:val="none"/>
        </w:rPr>
        <w:t> </w:t>
      </w:r>
    </w:p>
    <w:p w14:paraId="2F9686B7">
      <w:pPr>
        <w:widowControl/>
        <w:spacing w:after="150"/>
        <w:jc w:val="center"/>
        <w:rPr>
          <w:rFonts w:cs="宋体" w:asciiTheme="minorEastAsia" w:hAnsiTheme="minorEastAsia" w:eastAsiaTheme="minorEastAsia"/>
          <w:color w:val="auto"/>
          <w:kern w:val="0"/>
          <w:sz w:val="24"/>
          <w:szCs w:val="24"/>
          <w:highlight w:val="none"/>
        </w:rPr>
      </w:pPr>
    </w:p>
    <w:p w14:paraId="0AEC4894">
      <w:pPr>
        <w:widowControl/>
        <w:spacing w:after="150"/>
        <w:jc w:val="center"/>
        <w:rPr>
          <w:rFonts w:cs="宋体" w:asciiTheme="minorEastAsia" w:hAnsiTheme="minorEastAsia" w:eastAsiaTheme="minorEastAsia"/>
          <w:color w:val="auto"/>
          <w:kern w:val="0"/>
          <w:sz w:val="24"/>
          <w:szCs w:val="24"/>
          <w:highlight w:val="none"/>
        </w:rPr>
      </w:pPr>
    </w:p>
    <w:p w14:paraId="6423ED63">
      <w:pPr>
        <w:widowControl/>
        <w:spacing w:after="150"/>
        <w:jc w:val="center"/>
        <w:rPr>
          <w:rFonts w:cs="宋体" w:asciiTheme="minorEastAsia" w:hAnsiTheme="minorEastAsia" w:eastAsiaTheme="minorEastAsia"/>
          <w:color w:val="auto"/>
          <w:kern w:val="0"/>
          <w:sz w:val="24"/>
          <w:szCs w:val="24"/>
          <w:highlight w:val="none"/>
        </w:rPr>
      </w:pPr>
    </w:p>
    <w:p w14:paraId="2C311681">
      <w:pPr>
        <w:widowControl/>
        <w:spacing w:after="150"/>
        <w:jc w:val="center"/>
        <w:rPr>
          <w:rFonts w:cs="宋体" w:asciiTheme="minorEastAsia" w:hAnsiTheme="minorEastAsia" w:eastAsiaTheme="minorEastAsia"/>
          <w:color w:val="auto"/>
          <w:kern w:val="0"/>
          <w:sz w:val="24"/>
          <w:szCs w:val="24"/>
          <w:highlight w:val="none"/>
        </w:rPr>
      </w:pPr>
    </w:p>
    <w:p w14:paraId="4F8DD050">
      <w:pPr>
        <w:spacing w:line="400" w:lineRule="exact"/>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（一）以资格条件落实中小企业扶持政策时适用（若有）</w:t>
      </w:r>
    </w:p>
    <w:p w14:paraId="241E1C14">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中小企业声明函（货物）</w:t>
      </w:r>
    </w:p>
    <w:p w14:paraId="5ECEF03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采购活动，提供的货物全部由符合政策要求的中小企业制造。相关企业（含联合体中的中小企业、签订分包意向协议的中小企业）的具体情况如下：</w:t>
      </w:r>
    </w:p>
    <w:p w14:paraId="3DA61D6B">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万元1，属于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12667573">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行业；制造商为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08A8873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1E09240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14:paraId="25D3CC06">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本企业对上述声明内容的真实性负责。如有虚假，将依法承担相应责任。</w:t>
      </w:r>
    </w:p>
    <w:p w14:paraId="6F4C1B70">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1271AAC4">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32EB0CA5">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188D9E04">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14:paraId="4C1F8419">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E774D4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D65F75">
      <w:pPr>
        <w:widowControl/>
        <w:rPr>
          <w:rFonts w:asciiTheme="minorEastAsia" w:hAnsiTheme="minorEastAsia" w:eastAsiaTheme="minorEastAsia" w:cstheme="minorEastAsia"/>
          <w:color w:val="auto"/>
          <w:kern w:val="0"/>
          <w:sz w:val="24"/>
          <w:szCs w:val="24"/>
          <w:highlight w:val="none"/>
        </w:rPr>
      </w:pPr>
    </w:p>
    <w:p w14:paraId="589BBA6C">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中小企业声明函（工程、服务）</w:t>
      </w:r>
    </w:p>
    <w:p w14:paraId="4C31EF09">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kern w:val="0"/>
          <w:sz w:val="24"/>
          <w:szCs w:val="24"/>
          <w:highlight w:val="none"/>
          <w:u w:val="single"/>
        </w:rPr>
        <w:t>（单位名称）</w:t>
      </w:r>
      <w:r>
        <w:rPr>
          <w:rFonts w:hint="eastAsia" w:asciiTheme="minorEastAsia" w:hAnsiTheme="minorEastAsia" w:eastAsiaTheme="minorEastAsia" w:cstheme="minorEastAsia"/>
          <w:color w:val="auto"/>
          <w:kern w:val="0"/>
          <w:sz w:val="24"/>
          <w:szCs w:val="24"/>
          <w:highlight w:val="none"/>
        </w:rPr>
        <w:t>的</w:t>
      </w:r>
      <w:r>
        <w:rPr>
          <w:rFonts w:hint="eastAsia" w:asciiTheme="minorEastAsia" w:hAnsiTheme="minorEastAsia" w:eastAsiaTheme="minorEastAsia" w:cstheme="minorEastAsia"/>
          <w:color w:val="auto"/>
          <w:kern w:val="0"/>
          <w:sz w:val="24"/>
          <w:szCs w:val="24"/>
          <w:highlight w:val="none"/>
          <w:u w:val="single"/>
        </w:rPr>
        <w:t>（项目名称）</w:t>
      </w:r>
      <w:r>
        <w:rPr>
          <w:rFonts w:hint="eastAsia" w:asciiTheme="minorEastAsia" w:hAnsiTheme="minorEastAsia" w:eastAsiaTheme="minorEastAsia" w:cstheme="minorEastAsia"/>
          <w:color w:val="auto"/>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F1029F4">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；承建（承接）企业为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万元1，属于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5228591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r>
        <w:rPr>
          <w:rFonts w:hint="eastAsia" w:asciiTheme="minorEastAsia" w:hAnsiTheme="minorEastAsia" w:eastAsiaTheme="minorEastAsia" w:cstheme="minorEastAsia"/>
          <w:color w:val="auto"/>
          <w:kern w:val="0"/>
          <w:sz w:val="24"/>
          <w:szCs w:val="24"/>
          <w:highlight w:val="none"/>
          <w:u w:val="single"/>
        </w:rPr>
        <w:t>（标的名称）</w:t>
      </w:r>
      <w:r>
        <w:rPr>
          <w:rFonts w:hint="eastAsia" w:asciiTheme="minorEastAsia" w:hAnsiTheme="minorEastAsia" w:eastAsiaTheme="minorEastAsia" w:cstheme="minorEastAsia"/>
          <w:color w:val="auto"/>
          <w:kern w:val="0"/>
          <w:sz w:val="24"/>
          <w:szCs w:val="24"/>
          <w:highlight w:val="none"/>
        </w:rPr>
        <w:t>，属于</w:t>
      </w:r>
      <w:r>
        <w:rPr>
          <w:rFonts w:hint="eastAsia" w:asciiTheme="minorEastAsia" w:hAnsiTheme="minorEastAsia" w:eastAsiaTheme="minorEastAsia" w:cstheme="minorEastAsia"/>
          <w:color w:val="auto"/>
          <w:kern w:val="0"/>
          <w:sz w:val="24"/>
          <w:szCs w:val="24"/>
          <w:highlight w:val="none"/>
          <w:u w:val="single"/>
        </w:rPr>
        <w:t>（采购文件中明确的所属行业）</w:t>
      </w:r>
      <w:r>
        <w:rPr>
          <w:rFonts w:hint="eastAsia" w:asciiTheme="minorEastAsia" w:hAnsiTheme="minorEastAsia" w:eastAsiaTheme="minorEastAsia" w:cstheme="minorEastAsia"/>
          <w:color w:val="auto"/>
          <w:kern w:val="0"/>
          <w:sz w:val="24"/>
          <w:szCs w:val="24"/>
          <w:highlight w:val="none"/>
        </w:rPr>
        <w:t>；承建（承接）企业为</w:t>
      </w:r>
      <w:r>
        <w:rPr>
          <w:rFonts w:hint="eastAsia" w:asciiTheme="minorEastAsia" w:hAnsiTheme="minorEastAsia" w:eastAsiaTheme="minorEastAsia" w:cstheme="minorEastAsia"/>
          <w:color w:val="auto"/>
          <w:kern w:val="0"/>
          <w:sz w:val="24"/>
          <w:szCs w:val="24"/>
          <w:highlight w:val="none"/>
          <w:u w:val="single"/>
        </w:rPr>
        <w:t>（企业名称）</w:t>
      </w:r>
      <w:r>
        <w:rPr>
          <w:rFonts w:hint="eastAsia" w:asciiTheme="minorEastAsia" w:hAnsiTheme="minorEastAsia" w:eastAsiaTheme="minorEastAsia" w:cstheme="minorEastAsia"/>
          <w:color w:val="auto"/>
          <w:kern w:val="0"/>
          <w:sz w:val="24"/>
          <w:szCs w:val="24"/>
          <w:highlight w:val="none"/>
        </w:rPr>
        <w:t>，从业人员</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人，营业收入为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万元，资产总额为</w:t>
      </w:r>
      <w:r>
        <w:rPr>
          <w:rFonts w:hint="eastAsia" w:asciiTheme="minorEastAsia" w:hAnsiTheme="minorEastAsia" w:eastAsiaTheme="minorEastAsia" w:cstheme="minorEastAsia"/>
          <w:color w:val="auto"/>
          <w:kern w:val="0"/>
          <w:sz w:val="24"/>
          <w:szCs w:val="24"/>
          <w:highlight w:val="none"/>
          <w:u w:val="single"/>
        </w:rPr>
        <w:t>　　　　　</w:t>
      </w:r>
      <w:r>
        <w:rPr>
          <w:rFonts w:hint="eastAsia" w:asciiTheme="minorEastAsia" w:hAnsiTheme="minorEastAsia" w:eastAsiaTheme="minorEastAsia" w:cstheme="minorEastAsia"/>
          <w:color w:val="auto"/>
          <w:kern w:val="0"/>
          <w:sz w:val="24"/>
          <w:szCs w:val="24"/>
          <w:highlight w:val="none"/>
        </w:rPr>
        <w:t>万元，属于</w:t>
      </w:r>
      <w:r>
        <w:rPr>
          <w:rFonts w:hint="eastAsia" w:asciiTheme="minorEastAsia" w:hAnsiTheme="minorEastAsia" w:eastAsiaTheme="minorEastAsia" w:cstheme="minorEastAsia"/>
          <w:color w:val="auto"/>
          <w:kern w:val="0"/>
          <w:sz w:val="24"/>
          <w:szCs w:val="24"/>
          <w:highlight w:val="none"/>
          <w:u w:val="single"/>
        </w:rPr>
        <w:t>（中型企业、小型企业、微型企业）</w:t>
      </w:r>
      <w:r>
        <w:rPr>
          <w:rFonts w:hint="eastAsia" w:asciiTheme="minorEastAsia" w:hAnsiTheme="minorEastAsia" w:eastAsiaTheme="minorEastAsia" w:cstheme="minorEastAsia"/>
          <w:color w:val="auto"/>
          <w:kern w:val="0"/>
          <w:sz w:val="24"/>
          <w:szCs w:val="24"/>
          <w:highlight w:val="none"/>
        </w:rPr>
        <w:t>；</w:t>
      </w:r>
    </w:p>
    <w:p w14:paraId="35D2BCCE">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w:t>
      </w:r>
    </w:p>
    <w:p w14:paraId="46CF00CE">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以上企业，不属于大企业的分支机构，不存在控股股东为大企业的情形，也不存在与大企业的负责人为同一人的情形。</w:t>
      </w:r>
    </w:p>
    <w:p w14:paraId="08550B69">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本企业对上述声明内容的真实性负责。如有虚假，将依法承担相应责任。</w:t>
      </w:r>
    </w:p>
    <w:p w14:paraId="5C918F12">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64625367">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3CB726C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※注意：</w:t>
      </w:r>
    </w:p>
    <w:p w14:paraId="2234EE2D">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1、从业人员、营业收入、资产总额填报上一年度数据，无上一年度数据的新成立企业可不填报。</w:t>
      </w:r>
    </w:p>
    <w:p w14:paraId="7791102E">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F511AD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A6B0FCD">
      <w:pPr>
        <w:widowControl/>
        <w:rPr>
          <w:rFonts w:asciiTheme="minorEastAsia" w:hAnsiTheme="minorEastAsia" w:eastAsiaTheme="minorEastAsia" w:cstheme="minorEastAsia"/>
          <w:color w:val="auto"/>
          <w:kern w:val="0"/>
          <w:sz w:val="24"/>
          <w:szCs w:val="24"/>
          <w:highlight w:val="none"/>
        </w:rPr>
      </w:pPr>
    </w:p>
    <w:p w14:paraId="3F61A018">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残疾人福利性单位声明函</w:t>
      </w:r>
    </w:p>
    <w:p w14:paraId="4AC8E5A0">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7B8FA80">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3C9732D">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）由本投标人承建的（填写“所投采购包、品目号”）工程</w:t>
      </w:r>
    </w:p>
    <w:p w14:paraId="428E5773">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 ）由本投标人承接的（填写“所投采购包、品目号”）服务；</w:t>
      </w:r>
    </w:p>
    <w:p w14:paraId="48C92028">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本投标人对上述声明的真实性负责。如有虚假，将依法承担相应责任。</w:t>
      </w:r>
    </w:p>
    <w:p w14:paraId="41803052">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备注：</w:t>
      </w:r>
    </w:p>
    <w:p w14:paraId="16593721">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1、请投标人按照实际情况编制填写本声明函，并在相应的（）中打“√”。</w:t>
      </w:r>
    </w:p>
    <w:p w14:paraId="7726AC0E">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2、若《残疾人福利性单位声明函》内容不真实，视为提供虚假材料。</w:t>
      </w:r>
    </w:p>
    <w:p w14:paraId="78E04A72">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投标人：</w:t>
      </w:r>
      <w:r>
        <w:rPr>
          <w:rFonts w:hint="eastAsia" w:asciiTheme="minorEastAsia" w:hAnsiTheme="minorEastAsia" w:eastAsiaTheme="minorEastAsia" w:cstheme="minorEastAsia"/>
          <w:color w:val="auto"/>
          <w:kern w:val="0"/>
          <w:sz w:val="24"/>
          <w:szCs w:val="24"/>
          <w:highlight w:val="none"/>
          <w:u w:val="single"/>
        </w:rPr>
        <w:t>（全称并加盖单位公章）</w:t>
      </w:r>
    </w:p>
    <w:p w14:paraId="7F320FC7">
      <w:pPr>
        <w:widowControl/>
        <w:ind w:firstLine="480"/>
        <w:jc w:val="righ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日期：</w:t>
      </w:r>
      <w:r>
        <w:rPr>
          <w:rFonts w:hint="eastAsia" w:asciiTheme="minorEastAsia" w:hAnsiTheme="minorEastAsia" w:eastAsiaTheme="minorEastAsia" w:cstheme="minorEastAsia"/>
          <w:color w:val="auto"/>
          <w:kern w:val="0"/>
          <w:sz w:val="24"/>
          <w:szCs w:val="24"/>
          <w:highlight w:val="none"/>
          <w:u w:val="single"/>
        </w:rPr>
        <w:t>　　年　　月　　日</w:t>
      </w:r>
    </w:p>
    <w:p w14:paraId="6FD4292A">
      <w:pPr>
        <w:widowControl/>
        <w:ind w:firstLine="480"/>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附：</w:t>
      </w:r>
    </w:p>
    <w:p w14:paraId="0EECF6F4">
      <w:pPr>
        <w:widowControl/>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监狱企业证明材料（若有）</w:t>
      </w:r>
    </w:p>
    <w:p w14:paraId="78B90FDC">
      <w:pPr>
        <w:spacing w:line="400" w:lineRule="exact"/>
        <w:ind w:firstLine="480"/>
        <w:jc w:val="right"/>
        <w:rPr>
          <w:color w:val="auto"/>
          <w:sz w:val="24"/>
          <w:szCs w:val="24"/>
          <w:highlight w:val="none"/>
        </w:rPr>
      </w:pPr>
      <w:r>
        <w:rPr>
          <w:rFonts w:hint="eastAsia" w:asciiTheme="minorEastAsia" w:hAnsiTheme="minorEastAsia" w:eastAsiaTheme="minorEastAsia" w:cstheme="minorEastAsia"/>
          <w:color w:val="auto"/>
          <w:sz w:val="24"/>
          <w:szCs w:val="24"/>
          <w:highlight w:val="none"/>
        </w:rPr>
        <w:t>投标人为监狱企业，提供本单位制造的货物（承接的服务），并在电子投标文件中提供省级以上监狱管理局、戒毒管理局（含新疆生产建设兵团）出具的属于监狱企业的证明文件。</w:t>
      </w:r>
    </w:p>
    <w:p w14:paraId="1E77213B">
      <w:pPr>
        <w:spacing w:line="400" w:lineRule="exact"/>
        <w:rPr>
          <w:rFonts w:asciiTheme="minorEastAsia" w:hAnsiTheme="minorEastAsia" w:eastAsiaTheme="minorEastAsia"/>
          <w:b/>
          <w:color w:val="auto"/>
          <w:kern w:val="0"/>
          <w:sz w:val="24"/>
          <w:szCs w:val="24"/>
          <w:highlight w:val="none"/>
        </w:rPr>
      </w:pPr>
      <w:r>
        <w:rPr>
          <w:rFonts w:hint="eastAsia" w:asciiTheme="minorEastAsia" w:hAnsiTheme="minorEastAsia" w:eastAsiaTheme="minorEastAsia"/>
          <w:b/>
          <w:color w:val="auto"/>
          <w:kern w:val="0"/>
          <w:sz w:val="24"/>
          <w:szCs w:val="24"/>
          <w:highlight w:val="none"/>
        </w:rPr>
        <w:t>（二）资格承诺函</w:t>
      </w:r>
    </w:p>
    <w:p w14:paraId="38794FA4">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 </w:t>
      </w:r>
    </w:p>
    <w:p w14:paraId="0F3C8550">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附件：</w:t>
      </w:r>
    </w:p>
    <w:p w14:paraId="3C104083">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福建省政府采购供应商资格承诺函</w:t>
      </w:r>
    </w:p>
    <w:p w14:paraId="164D8B84">
      <w:pPr>
        <w:widowControl/>
        <w:shd w:val="clear" w:color="auto" w:fill="FFFFFF"/>
        <w:spacing w:after="150" w:line="360" w:lineRule="exact"/>
        <w:jc w:val="left"/>
        <w:rPr>
          <w:rFonts w:cs="宋体" w:asciiTheme="minorEastAsia" w:hAnsiTheme="minorEastAsia"/>
          <w:color w:val="auto"/>
          <w:kern w:val="0"/>
          <w:sz w:val="24"/>
          <w:szCs w:val="24"/>
          <w:highlight w:val="none"/>
        </w:rPr>
      </w:pPr>
    </w:p>
    <w:p w14:paraId="234F0FE0">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致(采购人或政府采购代理机构):</w:t>
      </w:r>
    </w:p>
    <w:p w14:paraId="65AC47D9">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单位名称(自然人姓名):</w:t>
      </w:r>
    </w:p>
    <w:p w14:paraId="4D781EDF">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统一社会信用代码(身份证号码):</w:t>
      </w:r>
    </w:p>
    <w:p w14:paraId="50ABC3D7">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法定代表人(负责人):</w:t>
      </w:r>
    </w:p>
    <w:p w14:paraId="7FA3E615">
      <w:pPr>
        <w:widowControl/>
        <w:shd w:val="clear" w:color="auto" w:fill="FFFFFF"/>
        <w:spacing w:after="150" w:line="36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联系地址和电话:</w:t>
      </w:r>
    </w:p>
    <w:p w14:paraId="1B90D099">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我单位(本人)自愿参加本次政府采购活动，严格遵守《中华人民共和国政府采购法》及相关法律法规，坚守公开、公平公正和诚实信用等原则，依法诚信经营，并郑重承诺:</w:t>
      </w:r>
    </w:p>
    <w:p w14:paraId="69B978F3">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一、我单位(本人)具备采购文件要求以及《中华人民共和国政府采购法》第二十二条规定的条件:</w:t>
      </w:r>
    </w:p>
    <w:p w14:paraId="0868AA4E">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1.具有独立承担民事责任的能力;</w:t>
      </w:r>
    </w:p>
    <w:p w14:paraId="327B20BF">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2.具有良好的商业信誉和健全的财务会计制度;</w:t>
      </w:r>
    </w:p>
    <w:p w14:paraId="28CA1A96">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3.具有履行合同所必需的设备和专业技术能力;</w:t>
      </w:r>
    </w:p>
    <w:p w14:paraId="766092A1">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4.有依法缴纳税收和社会保障资金的良好记录;</w:t>
      </w:r>
    </w:p>
    <w:p w14:paraId="1FED1BE2">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5.参加政府采购活动前三年内，在经营活动中没有重大违法记录；</w:t>
      </w:r>
    </w:p>
    <w:p w14:paraId="68DF3807">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6.法律、行政法规规定的其他条件。</w:t>
      </w:r>
    </w:p>
    <w:p w14:paraId="26FC7D59">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D3B28B1">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EF3B986">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p>
    <w:p w14:paraId="77426825">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供应商名称(单位公章):</w:t>
      </w:r>
    </w:p>
    <w:p w14:paraId="4418023F">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年   月   日</w:t>
      </w:r>
    </w:p>
    <w:p w14:paraId="4A01749C">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注:</w:t>
      </w:r>
    </w:p>
    <w:p w14:paraId="0AEBB637">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1.我单位(本人)专指参加政府采购活动的供应商(含自然人)；</w:t>
      </w:r>
    </w:p>
    <w:p w14:paraId="0E8FBDA9">
      <w:pPr>
        <w:widowControl/>
        <w:shd w:val="clear" w:color="auto" w:fill="FFFFFF"/>
        <w:spacing w:after="150" w:line="360" w:lineRule="exact"/>
        <w:ind w:firstLine="480" w:firstLineChars="200"/>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2.资格承诺的供应商应在投标(响应)文件中按此模板提供承诺函，否则，视为未按照招标文件规定提交投标人的资格及资信文件，按资格审查不通过处理。</w:t>
      </w:r>
    </w:p>
    <w:p w14:paraId="77FDB33B">
      <w:pPr>
        <w:pStyle w:val="52"/>
        <w:ind w:firstLine="210"/>
        <w:rPr>
          <w:color w:val="auto"/>
          <w:highlight w:val="none"/>
        </w:rPr>
      </w:pPr>
    </w:p>
    <w:p w14:paraId="73CAF0E1">
      <w:pPr>
        <w:widowControl/>
        <w:spacing w:after="150"/>
        <w:rPr>
          <w:rFonts w:cs="宋体" w:asciiTheme="minorEastAsia" w:hAnsiTheme="minorEastAsia" w:eastAsiaTheme="minorEastAsia"/>
          <w:color w:val="auto"/>
          <w:kern w:val="0"/>
          <w:sz w:val="24"/>
          <w:szCs w:val="24"/>
          <w:highlight w:val="none"/>
        </w:rPr>
      </w:pPr>
    </w:p>
    <w:p w14:paraId="3F8FB9E7">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三</w:t>
      </w:r>
      <w:r>
        <w:rPr>
          <w:rFonts w:hint="eastAsia" w:cs="宋体" w:asciiTheme="minorEastAsia" w:hAnsiTheme="minorEastAsia" w:eastAsiaTheme="minorEastAsia"/>
          <w:b/>
          <w:bCs/>
          <w:color w:val="auto"/>
          <w:kern w:val="0"/>
          <w:sz w:val="24"/>
          <w:szCs w:val="24"/>
          <w:highlight w:val="none"/>
        </w:rPr>
        <w:t>、投标保证金</w:t>
      </w:r>
    </w:p>
    <w:p w14:paraId="7E6D33C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EBBFE5C">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编制说明</w:t>
      </w:r>
    </w:p>
    <w:p w14:paraId="4EFDCDD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E137842">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、在此项下提交的</w:t>
      </w:r>
      <w:r>
        <w:rPr>
          <w:rFonts w:hint="eastAsia" w:cs="宋体" w:asciiTheme="minorEastAsia" w:hAnsiTheme="minorEastAsia" w:eastAsiaTheme="minorEastAsia"/>
          <w:b/>
          <w:bCs/>
          <w:color w:val="auto"/>
          <w:kern w:val="0"/>
          <w:sz w:val="24"/>
          <w:szCs w:val="24"/>
          <w:highlight w:val="none"/>
        </w:rPr>
        <w:t>“投标保证金”</w:t>
      </w:r>
      <w:r>
        <w:rPr>
          <w:rFonts w:hint="eastAsia" w:cs="宋体" w:asciiTheme="minorEastAsia" w:hAnsiTheme="minorEastAsia" w:eastAsiaTheme="minorEastAsia"/>
          <w:color w:val="auto"/>
          <w:kern w:val="0"/>
          <w:sz w:val="24"/>
          <w:szCs w:val="24"/>
          <w:highlight w:val="none"/>
        </w:rPr>
        <w:t>材料可使用转账凭证复印件。</w:t>
      </w:r>
    </w:p>
    <w:p w14:paraId="0F3B2DAB">
      <w:pPr>
        <w:tabs>
          <w:tab w:val="left" w:pos="900"/>
        </w:tabs>
        <w:spacing w:line="360" w:lineRule="auto"/>
        <w:rPr>
          <w:rFonts w:asciiTheme="minorEastAsia" w:hAnsiTheme="minorEastAsia" w:eastAsiaTheme="minorEastAsia"/>
          <w:color w:val="auto"/>
          <w:sz w:val="24"/>
          <w:szCs w:val="24"/>
          <w:highlight w:val="none"/>
          <w:u w:val="single"/>
        </w:rPr>
      </w:pPr>
    </w:p>
    <w:p w14:paraId="3CA8E15C">
      <w:pPr>
        <w:tabs>
          <w:tab w:val="left" w:pos="900"/>
        </w:tabs>
        <w:spacing w:line="360" w:lineRule="auto"/>
        <w:jc w:val="center"/>
        <w:rPr>
          <w:rFonts w:asciiTheme="minorEastAsia" w:hAnsiTheme="minorEastAsia" w:eastAsiaTheme="minorEastAsia"/>
          <w:b/>
          <w:color w:val="auto"/>
          <w:sz w:val="24"/>
          <w:szCs w:val="24"/>
          <w:highlight w:val="none"/>
        </w:rPr>
      </w:pPr>
    </w:p>
    <w:p w14:paraId="21BD38E4">
      <w:pPr>
        <w:tabs>
          <w:tab w:val="left" w:pos="900"/>
        </w:tabs>
        <w:spacing w:line="360" w:lineRule="auto"/>
        <w:jc w:val="center"/>
        <w:rPr>
          <w:rFonts w:cs="宋体" w:asciiTheme="minorEastAsia" w:hAnsiTheme="minorEastAsia" w:eastAsiaTheme="minorEastAsia"/>
          <w:color w:val="auto"/>
          <w:kern w:val="0"/>
          <w:sz w:val="24"/>
          <w:szCs w:val="24"/>
          <w:highlight w:val="none"/>
        </w:rPr>
      </w:pPr>
      <w:r>
        <w:rPr>
          <w:rFonts w:hint="eastAsia" w:asciiTheme="minorEastAsia" w:hAnsiTheme="minorEastAsia" w:eastAsiaTheme="minorEastAsia"/>
          <w:b/>
          <w:color w:val="auto"/>
          <w:sz w:val="24"/>
          <w:szCs w:val="24"/>
          <w:highlight w:val="none"/>
        </w:rPr>
        <w:t>四、</w:t>
      </w:r>
      <w:r>
        <w:rPr>
          <w:rFonts w:hint="eastAsia" w:cs="宋体" w:asciiTheme="minorEastAsia" w:hAnsiTheme="minorEastAsia" w:eastAsiaTheme="minorEastAsia"/>
          <w:b/>
          <w:bCs/>
          <w:color w:val="auto"/>
          <w:kern w:val="0"/>
          <w:sz w:val="24"/>
          <w:szCs w:val="24"/>
          <w:highlight w:val="none"/>
        </w:rPr>
        <w:t>技术和服务要求响应表</w:t>
      </w:r>
    </w:p>
    <w:p w14:paraId="113E46C4">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1B6D5511">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招标编号：</w:t>
      </w:r>
      <w:r>
        <w:rPr>
          <w:rFonts w:cs="宋体" w:asciiTheme="minorEastAsia" w:hAnsiTheme="minorEastAsia" w:eastAsiaTheme="minorEastAsia"/>
          <w:color w:val="auto"/>
          <w:kern w:val="0"/>
          <w:sz w:val="24"/>
          <w:szCs w:val="24"/>
          <w:highlight w:val="none"/>
          <w:u w:val="single"/>
        </w:rPr>
        <w:t>                   </w:t>
      </w:r>
    </w:p>
    <w:tbl>
      <w:tblPr>
        <w:tblStyle w:val="53"/>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121"/>
        <w:gridCol w:w="1000"/>
        <w:gridCol w:w="3471"/>
        <w:gridCol w:w="2156"/>
        <w:gridCol w:w="2208"/>
      </w:tblGrid>
      <w:tr w14:paraId="2181C02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5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16E3B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合同包</w:t>
            </w:r>
          </w:p>
        </w:tc>
        <w:tc>
          <w:tcPr>
            <w:tcW w:w="50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E61C74">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品目号</w:t>
            </w:r>
          </w:p>
        </w:tc>
        <w:tc>
          <w:tcPr>
            <w:tcW w:w="174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EEBD238">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技术和服务要求</w:t>
            </w:r>
          </w:p>
        </w:tc>
        <w:tc>
          <w:tcPr>
            <w:tcW w:w="108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C568091">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投标响应</w:t>
            </w:r>
          </w:p>
        </w:tc>
        <w:tc>
          <w:tcPr>
            <w:tcW w:w="110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DC6FA4F">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是否偏离及说明</w:t>
            </w:r>
          </w:p>
        </w:tc>
      </w:tr>
      <w:tr w14:paraId="35542733">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7A917E7">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248ED79">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5E217443">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38BF4FEC">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B8AF89B">
            <w:pPr>
              <w:widowControl/>
              <w:jc w:val="left"/>
              <w:rPr>
                <w:rFonts w:cs="宋体" w:asciiTheme="minorEastAsia" w:hAnsiTheme="minorEastAsia" w:eastAsiaTheme="minorEastAsia"/>
                <w:color w:val="auto"/>
                <w:kern w:val="0"/>
                <w:sz w:val="24"/>
                <w:szCs w:val="24"/>
                <w:highlight w:val="none"/>
              </w:rPr>
            </w:pPr>
          </w:p>
        </w:tc>
      </w:tr>
      <w:tr w14:paraId="257148F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continue"/>
            <w:tcBorders>
              <w:top w:val="nil"/>
              <w:left w:val="single" w:color="auto" w:sz="6" w:space="0"/>
              <w:bottom w:val="single" w:color="auto" w:sz="6" w:space="0"/>
              <w:right w:val="single" w:color="auto" w:sz="6" w:space="0"/>
            </w:tcBorders>
            <w:vAlign w:val="center"/>
          </w:tcPr>
          <w:p w14:paraId="65454231">
            <w:pPr>
              <w:widowControl/>
              <w:jc w:val="left"/>
              <w:rPr>
                <w:rFonts w:cs="宋体" w:asciiTheme="minorEastAsia" w:hAnsiTheme="minorEastAsia" w:eastAsiaTheme="minorEastAsia"/>
                <w:color w:val="auto"/>
                <w:kern w:val="0"/>
                <w:sz w:val="24"/>
                <w:szCs w:val="24"/>
                <w:highlight w:val="none"/>
              </w:rPr>
            </w:pP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1FD0FFB">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69D42A4">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7B3330FD">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F88E0B0">
            <w:pPr>
              <w:widowControl/>
              <w:jc w:val="left"/>
              <w:rPr>
                <w:rFonts w:cs="宋体" w:asciiTheme="minorEastAsia" w:hAnsiTheme="minorEastAsia" w:eastAsiaTheme="minorEastAsia"/>
                <w:color w:val="auto"/>
                <w:kern w:val="0"/>
                <w:sz w:val="24"/>
                <w:szCs w:val="24"/>
                <w:highlight w:val="none"/>
              </w:rPr>
            </w:pPr>
          </w:p>
        </w:tc>
      </w:tr>
      <w:tr w14:paraId="129DA60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C8F29D">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8696ADD">
            <w:pPr>
              <w:widowControl/>
              <w:jc w:val="left"/>
              <w:rPr>
                <w:rFonts w:cs="宋体" w:asciiTheme="minorEastAsia" w:hAnsiTheme="minorEastAsia" w:eastAsiaTheme="minorEastAsia"/>
                <w:color w:val="auto"/>
                <w:kern w:val="0"/>
                <w:sz w:val="24"/>
                <w:szCs w:val="24"/>
                <w:highlight w:val="none"/>
              </w:rPr>
            </w:pP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723A2B5">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BD899CD">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46313C0">
            <w:pPr>
              <w:widowControl/>
              <w:jc w:val="left"/>
              <w:rPr>
                <w:rFonts w:cs="宋体" w:asciiTheme="minorEastAsia" w:hAnsiTheme="minorEastAsia" w:eastAsiaTheme="minorEastAsia"/>
                <w:color w:val="auto"/>
                <w:kern w:val="0"/>
                <w:sz w:val="24"/>
                <w:szCs w:val="24"/>
                <w:highlight w:val="none"/>
              </w:rPr>
            </w:pPr>
          </w:p>
        </w:tc>
      </w:tr>
    </w:tbl>
    <w:p w14:paraId="017ECFD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7AD21A6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、本表应按照下列规定填写：</w:t>
      </w:r>
    </w:p>
    <w:p w14:paraId="26EA239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1.1</w:t>
      </w:r>
      <w:r>
        <w:rPr>
          <w:rFonts w:hint="eastAsia" w:cs="宋体" w:asciiTheme="minorEastAsia" w:hAnsiTheme="minorEastAsia" w:eastAsiaTheme="minorEastAsia"/>
          <w:color w:val="auto"/>
          <w:kern w:val="0"/>
          <w:sz w:val="24"/>
          <w:szCs w:val="24"/>
          <w:highlight w:val="none"/>
        </w:rPr>
        <w:t>“技术和服务要求”项下填写的内容应与招标文件第三章“技术和服务要求”的内容保持一致。</w:t>
      </w:r>
    </w:p>
    <w:p w14:paraId="66C16A7C">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1.2</w:t>
      </w:r>
      <w:r>
        <w:rPr>
          <w:rFonts w:hint="eastAsia" w:cs="宋体" w:asciiTheme="minorEastAsia" w:hAnsiTheme="minorEastAsia" w:eastAsiaTheme="minorEastAsia"/>
          <w:color w:val="auto"/>
          <w:kern w:val="0"/>
          <w:sz w:val="24"/>
          <w:szCs w:val="24"/>
          <w:highlight w:val="none"/>
        </w:rPr>
        <w:t>“投标响应”项下应填写具体的响应内容并与“技术和服务要求”项下填写的内容逐项对应；对“技术和服务要求”项下涉及“≥或＞”、“≤或＜”及某个区间值范围内的内容，应填写具体的数值。</w:t>
      </w:r>
    </w:p>
    <w:p w14:paraId="44BB0005">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1.3</w:t>
      </w:r>
      <w:r>
        <w:rPr>
          <w:rFonts w:hint="eastAsia" w:cs="宋体" w:asciiTheme="minorEastAsia" w:hAnsiTheme="minorEastAsia" w:eastAsiaTheme="minorEastAsia"/>
          <w:color w:val="auto"/>
          <w:kern w:val="0"/>
          <w:sz w:val="24"/>
          <w:szCs w:val="24"/>
          <w:highlight w:val="none"/>
        </w:rPr>
        <w:t>“是否偏离及说明”项下应按下列规定填写：优于的，填写“正偏离”；符合的，填写“无偏离”；低于的，填写“负偏离”。</w:t>
      </w:r>
    </w:p>
    <w:p w14:paraId="5A4B042B">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、投标人需要说明的内容若需特殊表达，应先在本表中进行相应说明，再</w:t>
      </w:r>
      <w:r>
        <w:rPr>
          <w:rFonts w:cs="宋体" w:asciiTheme="minorEastAsia" w:hAnsiTheme="minorEastAsia" w:eastAsiaTheme="minorEastAsia"/>
          <w:color w:val="auto"/>
          <w:kern w:val="0"/>
          <w:sz w:val="24"/>
          <w:szCs w:val="24"/>
          <w:highlight w:val="none"/>
        </w:rPr>
        <w:t>    </w:t>
      </w:r>
      <w:r>
        <w:rPr>
          <w:rFonts w:hint="eastAsia" w:cs="宋体" w:asciiTheme="minorEastAsia" w:hAnsiTheme="minorEastAsia" w:eastAsiaTheme="minorEastAsia"/>
          <w:color w:val="auto"/>
          <w:kern w:val="0"/>
          <w:sz w:val="24"/>
          <w:szCs w:val="24"/>
          <w:highlight w:val="none"/>
        </w:rPr>
        <w:t>另页应答，否则</w:t>
      </w:r>
      <w:r>
        <w:rPr>
          <w:rFonts w:hint="eastAsia" w:cs="宋体" w:asciiTheme="minorEastAsia" w:hAnsiTheme="minorEastAsia" w:eastAsiaTheme="minorEastAsia"/>
          <w:b/>
          <w:bCs/>
          <w:color w:val="auto"/>
          <w:kern w:val="0"/>
          <w:sz w:val="24"/>
          <w:szCs w:val="24"/>
          <w:highlight w:val="none"/>
        </w:rPr>
        <w:t>投标无效</w:t>
      </w:r>
      <w:r>
        <w:rPr>
          <w:rFonts w:hint="eastAsia" w:cs="宋体" w:asciiTheme="minorEastAsia" w:hAnsiTheme="minorEastAsia" w:eastAsiaTheme="minorEastAsia"/>
          <w:color w:val="auto"/>
          <w:kern w:val="0"/>
          <w:sz w:val="24"/>
          <w:szCs w:val="24"/>
          <w:highlight w:val="none"/>
        </w:rPr>
        <w:t>。</w:t>
      </w:r>
    </w:p>
    <w:p w14:paraId="5611960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、纸质投标文件正本中的本表应为原件。</w:t>
      </w:r>
    </w:p>
    <w:p w14:paraId="34F01C9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7B5DC591">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25F66F52">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118F871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5C58F4AC">
      <w:pPr>
        <w:widowControl/>
        <w:spacing w:after="150"/>
        <w:jc w:val="left"/>
        <w:rPr>
          <w:rFonts w:cs="宋体" w:asciiTheme="minorEastAsia" w:hAnsiTheme="minorEastAsia" w:eastAsiaTheme="minorEastAsia"/>
          <w:color w:val="auto"/>
          <w:kern w:val="0"/>
          <w:sz w:val="24"/>
          <w:szCs w:val="24"/>
          <w:highlight w:val="none"/>
        </w:rPr>
      </w:pPr>
    </w:p>
    <w:p w14:paraId="507A250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五、商务条件响应表</w:t>
      </w:r>
    </w:p>
    <w:p w14:paraId="50BBA62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4B63C51F">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招标编号：</w:t>
      </w:r>
      <w:r>
        <w:rPr>
          <w:rFonts w:cs="宋体" w:asciiTheme="minorEastAsia" w:hAnsiTheme="minorEastAsia" w:eastAsiaTheme="minorEastAsia"/>
          <w:color w:val="auto"/>
          <w:kern w:val="0"/>
          <w:sz w:val="24"/>
          <w:szCs w:val="24"/>
          <w:highlight w:val="none"/>
          <w:u w:val="single"/>
        </w:rPr>
        <w:t>                   </w:t>
      </w:r>
    </w:p>
    <w:tbl>
      <w:tblPr>
        <w:tblStyle w:val="53"/>
        <w:tblW w:w="5000" w:type="pct"/>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1121"/>
        <w:gridCol w:w="1000"/>
        <w:gridCol w:w="3471"/>
        <w:gridCol w:w="2156"/>
        <w:gridCol w:w="2208"/>
      </w:tblGrid>
      <w:tr w14:paraId="03816DC7">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D1DCAE4">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合同包</w:t>
            </w:r>
          </w:p>
        </w:tc>
        <w:tc>
          <w:tcPr>
            <w:tcW w:w="502"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CA89AD">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品目号</w:t>
            </w:r>
          </w:p>
        </w:tc>
        <w:tc>
          <w:tcPr>
            <w:tcW w:w="174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A4580D">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商务条件</w:t>
            </w:r>
          </w:p>
        </w:tc>
        <w:tc>
          <w:tcPr>
            <w:tcW w:w="1083"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22BFE7">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投标响应</w:t>
            </w:r>
          </w:p>
        </w:tc>
        <w:tc>
          <w:tcPr>
            <w:tcW w:w="1109" w:type="pct"/>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3FA1462E">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是否偏离及说明</w:t>
            </w:r>
          </w:p>
        </w:tc>
      </w:tr>
      <w:tr w14:paraId="6B46288C">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95044E0">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7394BF43">
            <w:pPr>
              <w:widowControl/>
              <w:spacing w:after="150"/>
              <w:jc w:val="center"/>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C831716">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693689A0">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47CB7C14">
            <w:pPr>
              <w:widowControl/>
              <w:jc w:val="left"/>
              <w:rPr>
                <w:rFonts w:cs="宋体" w:asciiTheme="minorEastAsia" w:hAnsiTheme="minorEastAsia" w:eastAsiaTheme="minorEastAsia"/>
                <w:color w:val="auto"/>
                <w:kern w:val="0"/>
                <w:sz w:val="24"/>
                <w:szCs w:val="24"/>
                <w:highlight w:val="none"/>
              </w:rPr>
            </w:pPr>
          </w:p>
        </w:tc>
      </w:tr>
      <w:tr w14:paraId="0B857F48">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vMerge w:val="continue"/>
            <w:tcBorders>
              <w:top w:val="nil"/>
              <w:left w:val="single" w:color="auto" w:sz="6" w:space="0"/>
              <w:bottom w:val="single" w:color="auto" w:sz="6" w:space="0"/>
              <w:right w:val="single" w:color="auto" w:sz="6" w:space="0"/>
            </w:tcBorders>
            <w:vAlign w:val="center"/>
          </w:tcPr>
          <w:p w14:paraId="2A136F54">
            <w:pPr>
              <w:widowControl/>
              <w:jc w:val="left"/>
              <w:rPr>
                <w:rFonts w:cs="宋体" w:asciiTheme="minorEastAsia" w:hAnsiTheme="minorEastAsia" w:eastAsiaTheme="minorEastAsia"/>
                <w:color w:val="auto"/>
                <w:kern w:val="0"/>
                <w:sz w:val="24"/>
                <w:szCs w:val="24"/>
                <w:highlight w:val="none"/>
              </w:rPr>
            </w:pP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FDDC7A0">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9A10B54">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866B754">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B8B4096">
            <w:pPr>
              <w:widowControl/>
              <w:jc w:val="left"/>
              <w:rPr>
                <w:rFonts w:cs="宋体" w:asciiTheme="minorEastAsia" w:hAnsiTheme="minorEastAsia" w:eastAsiaTheme="minorEastAsia"/>
                <w:color w:val="auto"/>
                <w:kern w:val="0"/>
                <w:sz w:val="24"/>
                <w:szCs w:val="24"/>
                <w:highlight w:val="none"/>
              </w:rPr>
            </w:pPr>
          </w:p>
        </w:tc>
      </w:tr>
      <w:tr w14:paraId="052C1DFE">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c>
          <w:tcPr>
            <w:tcW w:w="563"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F156B02">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w:t>
            </w:r>
          </w:p>
        </w:tc>
        <w:tc>
          <w:tcPr>
            <w:tcW w:w="502"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0BED549">
            <w:pPr>
              <w:widowControl/>
              <w:jc w:val="left"/>
              <w:rPr>
                <w:rFonts w:cs="宋体" w:asciiTheme="minorEastAsia" w:hAnsiTheme="minorEastAsia" w:eastAsiaTheme="minorEastAsia"/>
                <w:color w:val="auto"/>
                <w:kern w:val="0"/>
                <w:sz w:val="24"/>
                <w:szCs w:val="24"/>
                <w:highlight w:val="none"/>
              </w:rPr>
            </w:pPr>
          </w:p>
        </w:tc>
        <w:tc>
          <w:tcPr>
            <w:tcW w:w="174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3079BF4">
            <w:pPr>
              <w:widowControl/>
              <w:jc w:val="left"/>
              <w:rPr>
                <w:rFonts w:cs="宋体" w:asciiTheme="minorEastAsia" w:hAnsiTheme="minorEastAsia" w:eastAsiaTheme="minorEastAsia"/>
                <w:color w:val="auto"/>
                <w:kern w:val="0"/>
                <w:sz w:val="24"/>
                <w:szCs w:val="24"/>
                <w:highlight w:val="none"/>
              </w:rPr>
            </w:pPr>
          </w:p>
        </w:tc>
        <w:tc>
          <w:tcPr>
            <w:tcW w:w="1083"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78C6303">
            <w:pPr>
              <w:widowControl/>
              <w:jc w:val="left"/>
              <w:rPr>
                <w:rFonts w:cs="宋体" w:asciiTheme="minorEastAsia" w:hAnsiTheme="minorEastAsia" w:eastAsiaTheme="minorEastAsia"/>
                <w:color w:val="auto"/>
                <w:kern w:val="0"/>
                <w:sz w:val="24"/>
                <w:szCs w:val="24"/>
                <w:highlight w:val="none"/>
              </w:rPr>
            </w:pPr>
          </w:p>
        </w:tc>
        <w:tc>
          <w:tcPr>
            <w:tcW w:w="110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2D00F765">
            <w:pPr>
              <w:widowControl/>
              <w:jc w:val="left"/>
              <w:rPr>
                <w:rFonts w:cs="宋体" w:asciiTheme="minorEastAsia" w:hAnsiTheme="minorEastAsia" w:eastAsiaTheme="minorEastAsia"/>
                <w:color w:val="auto"/>
                <w:kern w:val="0"/>
                <w:sz w:val="24"/>
                <w:szCs w:val="24"/>
                <w:highlight w:val="none"/>
              </w:rPr>
            </w:pPr>
          </w:p>
        </w:tc>
      </w:tr>
    </w:tbl>
    <w:p w14:paraId="2C21C4F4">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★注意：</w:t>
      </w:r>
    </w:p>
    <w:p w14:paraId="23A6D436">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、本表应按照下列规定填写：</w:t>
      </w:r>
    </w:p>
    <w:p w14:paraId="3FB079B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1.1</w:t>
      </w:r>
      <w:r>
        <w:rPr>
          <w:rFonts w:hint="eastAsia" w:cs="宋体" w:asciiTheme="minorEastAsia" w:hAnsiTheme="minorEastAsia" w:eastAsiaTheme="minorEastAsia"/>
          <w:color w:val="auto"/>
          <w:kern w:val="0"/>
          <w:sz w:val="24"/>
          <w:szCs w:val="24"/>
          <w:highlight w:val="none"/>
        </w:rPr>
        <w:t>“商务条件”项下填写的内容应与招标文件第三章“商务条件”的内容保持一致。</w:t>
      </w:r>
    </w:p>
    <w:p w14:paraId="5BEC0313">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1.2</w:t>
      </w:r>
      <w:r>
        <w:rPr>
          <w:rFonts w:hint="eastAsia" w:cs="宋体" w:asciiTheme="minorEastAsia" w:hAnsiTheme="minorEastAsia" w:eastAsiaTheme="minorEastAsia"/>
          <w:color w:val="auto"/>
          <w:kern w:val="0"/>
          <w:sz w:val="24"/>
          <w:szCs w:val="24"/>
          <w:highlight w:val="none"/>
        </w:rPr>
        <w:t>“投标响应”项下应填写具体的响应内容并与“商务条件”项下填写的内容逐项对应；对“商务条件”项下涉及“≥或＞”、“≤或＜”及某个区间值范围内的内容，应填写具体的数值。</w:t>
      </w:r>
    </w:p>
    <w:p w14:paraId="794F073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1.3</w:t>
      </w:r>
      <w:r>
        <w:rPr>
          <w:rFonts w:hint="eastAsia" w:cs="宋体" w:asciiTheme="minorEastAsia" w:hAnsiTheme="minorEastAsia" w:eastAsiaTheme="minorEastAsia"/>
          <w:color w:val="auto"/>
          <w:kern w:val="0"/>
          <w:sz w:val="24"/>
          <w:szCs w:val="24"/>
          <w:highlight w:val="none"/>
        </w:rPr>
        <w:t>“是否偏离及说明”项下应按下列规定填写：优于的，填写“正偏离”；符合的，填写“无偏离”；低于的，填写“负偏离”。</w:t>
      </w:r>
    </w:p>
    <w:p w14:paraId="7DDDEC98">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、投标人需要说明的内容若需特殊表达，应先在本表中进行相应说明，再另页应答，否则</w:t>
      </w:r>
      <w:r>
        <w:rPr>
          <w:rFonts w:hint="eastAsia" w:cs="宋体" w:asciiTheme="minorEastAsia" w:hAnsiTheme="minorEastAsia" w:eastAsiaTheme="minorEastAsia"/>
          <w:b/>
          <w:bCs/>
          <w:color w:val="auto"/>
          <w:kern w:val="0"/>
          <w:sz w:val="24"/>
          <w:szCs w:val="24"/>
          <w:highlight w:val="none"/>
        </w:rPr>
        <w:t>投标无效</w:t>
      </w:r>
      <w:r>
        <w:rPr>
          <w:rFonts w:hint="eastAsia" w:cs="宋体" w:asciiTheme="minorEastAsia" w:hAnsiTheme="minorEastAsia" w:eastAsiaTheme="minorEastAsia"/>
          <w:color w:val="auto"/>
          <w:kern w:val="0"/>
          <w:sz w:val="24"/>
          <w:szCs w:val="24"/>
          <w:highlight w:val="none"/>
        </w:rPr>
        <w:t>。</w:t>
      </w:r>
    </w:p>
    <w:p w14:paraId="6E9A3B97">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、纸质投标文件正本中的本表应为原件。</w:t>
      </w:r>
    </w:p>
    <w:p w14:paraId="3BC8E408">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 </w:t>
      </w:r>
    </w:p>
    <w:p w14:paraId="0D94B221">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0FA0C080">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7A91B858">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3122F2AA">
      <w:pPr>
        <w:widowControl/>
        <w:spacing w:after="150"/>
        <w:jc w:val="left"/>
        <w:rPr>
          <w:rFonts w:cs="宋体" w:asciiTheme="minorEastAsia" w:hAnsiTheme="minorEastAsia" w:eastAsiaTheme="minorEastAsia"/>
          <w:color w:val="auto"/>
          <w:kern w:val="0"/>
          <w:sz w:val="24"/>
          <w:szCs w:val="24"/>
          <w:highlight w:val="none"/>
        </w:rPr>
      </w:pPr>
    </w:p>
    <w:p w14:paraId="7EE9AF21">
      <w:pPr>
        <w:widowControl/>
        <w:spacing w:after="150"/>
        <w:jc w:val="left"/>
        <w:rPr>
          <w:rFonts w:cs="宋体" w:asciiTheme="minorEastAsia" w:hAnsiTheme="minorEastAsia" w:eastAsiaTheme="minorEastAsia"/>
          <w:color w:val="auto"/>
          <w:kern w:val="0"/>
          <w:sz w:val="24"/>
          <w:szCs w:val="24"/>
          <w:highlight w:val="none"/>
        </w:rPr>
      </w:pPr>
    </w:p>
    <w:p w14:paraId="778FB02C">
      <w:pPr>
        <w:widowControl/>
        <w:spacing w:after="150"/>
        <w:jc w:val="center"/>
        <w:rPr>
          <w:rFonts w:cs="宋体" w:asciiTheme="minorEastAsia" w:hAnsiTheme="minorEastAsia" w:eastAsiaTheme="minorEastAsia"/>
          <w:color w:val="auto"/>
          <w:kern w:val="0"/>
          <w:sz w:val="24"/>
          <w:szCs w:val="24"/>
          <w:highlight w:val="none"/>
        </w:rPr>
      </w:pPr>
    </w:p>
    <w:p w14:paraId="0E62FB6A">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b/>
          <w:bCs/>
          <w:color w:val="auto"/>
          <w:kern w:val="0"/>
          <w:sz w:val="24"/>
          <w:szCs w:val="24"/>
          <w:highlight w:val="none"/>
        </w:rPr>
        <w:t>六、投标人提交的其他资料（若有）</w:t>
      </w:r>
    </w:p>
    <w:p w14:paraId="6BEC281B">
      <w:pPr>
        <w:widowControl/>
        <w:spacing w:after="150"/>
        <w:jc w:val="center"/>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编制说明</w:t>
      </w:r>
    </w:p>
    <w:p w14:paraId="3B57BD7A">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1</w:t>
      </w:r>
      <w:r>
        <w:rPr>
          <w:rFonts w:hint="eastAsia" w:cs="宋体" w:asciiTheme="minorEastAsia" w:hAnsiTheme="minorEastAsia" w:eastAsiaTheme="minorEastAsia"/>
          <w:color w:val="auto"/>
          <w:kern w:val="0"/>
          <w:sz w:val="24"/>
          <w:szCs w:val="24"/>
          <w:highlight w:val="none"/>
        </w:rPr>
        <w:t>、招标文件要求提交的除</w:t>
      </w:r>
      <w:r>
        <w:rPr>
          <w:rFonts w:hint="eastAsia" w:cs="宋体" w:asciiTheme="minorEastAsia" w:hAnsiTheme="minorEastAsia" w:eastAsiaTheme="minorEastAsia"/>
          <w:b/>
          <w:bCs/>
          <w:color w:val="auto"/>
          <w:kern w:val="0"/>
          <w:sz w:val="24"/>
          <w:szCs w:val="24"/>
          <w:highlight w:val="none"/>
        </w:rPr>
        <w:t>“资格及资信证明部分”、“报价部分”</w:t>
      </w:r>
      <w:r>
        <w:rPr>
          <w:rFonts w:hint="eastAsia" w:cs="宋体" w:asciiTheme="minorEastAsia" w:hAnsiTheme="minorEastAsia" w:eastAsiaTheme="minorEastAsia"/>
          <w:color w:val="auto"/>
          <w:kern w:val="0"/>
          <w:sz w:val="24"/>
          <w:szCs w:val="24"/>
          <w:highlight w:val="none"/>
        </w:rPr>
        <w:t>外的其他证明材料或资料加盖投标人的单位公章后应在此项下提交。</w:t>
      </w:r>
    </w:p>
    <w:p w14:paraId="6E9BB00F">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2</w:t>
      </w:r>
      <w:r>
        <w:rPr>
          <w:rFonts w:hint="eastAsia" w:cs="宋体" w:asciiTheme="minorEastAsia" w:hAnsiTheme="minorEastAsia" w:eastAsiaTheme="minorEastAsia"/>
          <w:color w:val="auto"/>
          <w:kern w:val="0"/>
          <w:sz w:val="24"/>
          <w:szCs w:val="24"/>
          <w:highlight w:val="none"/>
        </w:rPr>
        <w:t>、招标文件要求投标人提供方案（包括但不限于：组织、实施、技术、服务方案等）的，投标人应在此项下提交。</w:t>
      </w:r>
    </w:p>
    <w:p w14:paraId="74E83E49">
      <w:pPr>
        <w:widowControl/>
        <w:spacing w:after="150"/>
        <w:jc w:val="left"/>
        <w:rPr>
          <w:rFonts w:cs="宋体" w:asciiTheme="minorEastAsia" w:hAnsiTheme="minorEastAsia" w:eastAsiaTheme="minorEastAsia"/>
          <w:color w:val="auto"/>
          <w:kern w:val="0"/>
          <w:sz w:val="24"/>
          <w:szCs w:val="24"/>
          <w:highlight w:val="none"/>
        </w:rPr>
      </w:pPr>
      <w:r>
        <w:rPr>
          <w:rFonts w:cs="宋体" w:asciiTheme="minorEastAsia" w:hAnsiTheme="minorEastAsia" w:eastAsiaTheme="minorEastAsia"/>
          <w:color w:val="auto"/>
          <w:kern w:val="0"/>
          <w:sz w:val="24"/>
          <w:szCs w:val="24"/>
          <w:highlight w:val="none"/>
        </w:rPr>
        <w:t>3</w:t>
      </w:r>
      <w:r>
        <w:rPr>
          <w:rFonts w:hint="eastAsia" w:cs="宋体" w:asciiTheme="minorEastAsia" w:hAnsiTheme="minorEastAsia" w:eastAsiaTheme="minorEastAsia"/>
          <w:color w:val="auto"/>
          <w:kern w:val="0"/>
          <w:sz w:val="24"/>
          <w:szCs w:val="24"/>
          <w:highlight w:val="none"/>
        </w:rPr>
        <w:t>、除招标文件另有规定外，投标人认为需要提交的其他证明材料或资料加盖投标人的单位公章后应在此项下提交。</w:t>
      </w:r>
    </w:p>
    <w:p w14:paraId="1F987711">
      <w:pPr>
        <w:tabs>
          <w:tab w:val="left" w:pos="900"/>
        </w:tabs>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6-1招标服务费承诺书</w:t>
      </w:r>
    </w:p>
    <w:p w14:paraId="2E43AB76">
      <w:pPr>
        <w:tabs>
          <w:tab w:val="left" w:pos="900"/>
        </w:tabs>
        <w:spacing w:line="360" w:lineRule="auto"/>
        <w:rPr>
          <w:rFonts w:ascii="宋体" w:hAnsi="宋体"/>
          <w:color w:val="auto"/>
          <w:sz w:val="24"/>
          <w:szCs w:val="24"/>
          <w:highlight w:val="none"/>
        </w:rPr>
      </w:pPr>
      <w:r>
        <w:rPr>
          <w:rFonts w:hint="eastAsia" w:ascii="宋体" w:hAnsi="宋体"/>
          <w:color w:val="auto"/>
          <w:sz w:val="24"/>
          <w:szCs w:val="24"/>
          <w:highlight w:val="none"/>
        </w:rPr>
        <w:t>致：福建华真招标代理有限公司</w:t>
      </w:r>
    </w:p>
    <w:p w14:paraId="0EC51D48">
      <w:pPr>
        <w:tabs>
          <w:tab w:val="left" w:pos="900"/>
        </w:tabs>
        <w:spacing w:line="360" w:lineRule="auto"/>
        <w:ind w:firstLine="410" w:firstLineChars="171"/>
        <w:rPr>
          <w:rFonts w:ascii="宋体" w:hAnsi="宋体"/>
          <w:color w:val="auto"/>
          <w:sz w:val="24"/>
          <w:szCs w:val="24"/>
          <w:highlight w:val="none"/>
        </w:rPr>
      </w:pPr>
      <w:r>
        <w:rPr>
          <w:rFonts w:hint="eastAsia" w:ascii="宋体" w:hAnsi="宋体"/>
          <w:color w:val="auto"/>
          <w:sz w:val="24"/>
          <w:szCs w:val="24"/>
          <w:highlight w:val="none"/>
        </w:rPr>
        <w:t>我们在贵公司组织的项目招标中投标（招标编号：），如获中标，我们保证按招标文件规定的时间和服务费的收取标准在领取中标通知书的同时，以银行转帐、现金或经贵公司认可的其他付款方式，向贵公司缴交中标服务费。</w:t>
      </w:r>
    </w:p>
    <w:p w14:paraId="01CB85F6">
      <w:pPr>
        <w:tabs>
          <w:tab w:val="left" w:pos="5355"/>
        </w:tabs>
        <w:spacing w:line="360" w:lineRule="auto"/>
        <w:ind w:firstLine="540"/>
        <w:rPr>
          <w:rFonts w:ascii="宋体" w:hAnsi="宋体"/>
          <w:bCs/>
          <w:color w:val="auto"/>
          <w:kern w:val="0"/>
          <w:sz w:val="24"/>
          <w:szCs w:val="24"/>
          <w:highlight w:val="none"/>
        </w:rPr>
      </w:pPr>
      <w:r>
        <w:rPr>
          <w:rFonts w:hint="eastAsia" w:ascii="宋体" w:hAnsi="宋体"/>
          <w:bCs/>
          <w:color w:val="auto"/>
          <w:kern w:val="0"/>
          <w:sz w:val="24"/>
          <w:szCs w:val="24"/>
          <w:highlight w:val="none"/>
        </w:rPr>
        <w:t>我方如违反承诺，所提交的上述项目的投标保证金将不予退还我方，还愿赔偿福建华真招标代理有限公司本项目中标服务费200%的赔偿款。我方对此无异议。</w:t>
      </w:r>
    </w:p>
    <w:p w14:paraId="18980939">
      <w:pPr>
        <w:tabs>
          <w:tab w:val="left" w:pos="5355"/>
        </w:tabs>
        <w:spacing w:line="360" w:lineRule="auto"/>
        <w:ind w:firstLine="540"/>
        <w:rPr>
          <w:rFonts w:ascii="宋体" w:hAnsi="宋体"/>
          <w:bCs/>
          <w:color w:val="auto"/>
          <w:kern w:val="0"/>
          <w:sz w:val="24"/>
          <w:szCs w:val="24"/>
          <w:highlight w:val="none"/>
        </w:rPr>
      </w:pPr>
      <w:r>
        <w:rPr>
          <w:rFonts w:hint="eastAsia" w:ascii="宋体" w:hAnsi="宋体"/>
          <w:bCs/>
          <w:color w:val="auto"/>
          <w:kern w:val="0"/>
          <w:sz w:val="24"/>
          <w:szCs w:val="24"/>
          <w:highlight w:val="none"/>
        </w:rPr>
        <w:t>特此承诺！</w:t>
      </w:r>
    </w:p>
    <w:p w14:paraId="3292A376">
      <w:pPr>
        <w:widowControl/>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w:t>
      </w:r>
    </w:p>
    <w:p w14:paraId="60854390">
      <w:pPr>
        <w:widowControl/>
        <w:spacing w:line="46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1、投标文件正本中的本承诺书应为原件，否则投标无效。</w:t>
      </w:r>
    </w:p>
    <w:p w14:paraId="3DB59583">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w:t>
      </w:r>
      <w:r>
        <w:rPr>
          <w:rFonts w:hint="eastAsia" w:cs="宋体" w:asciiTheme="minorEastAsia" w:hAnsiTheme="minorEastAsia" w:eastAsiaTheme="minorEastAsia"/>
          <w:color w:val="auto"/>
          <w:kern w:val="0"/>
          <w:sz w:val="24"/>
          <w:szCs w:val="24"/>
          <w:highlight w:val="none"/>
          <w:u w:val="single"/>
        </w:rPr>
        <w:t>（全称并加盖单位公章）</w:t>
      </w:r>
    </w:p>
    <w:p w14:paraId="34E01D4C">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投标人代表签字：</w:t>
      </w:r>
      <w:r>
        <w:rPr>
          <w:rFonts w:cs="宋体" w:asciiTheme="minorEastAsia" w:hAnsiTheme="minorEastAsia" w:eastAsiaTheme="minorEastAsia"/>
          <w:color w:val="auto"/>
          <w:kern w:val="0"/>
          <w:sz w:val="24"/>
          <w:szCs w:val="24"/>
          <w:highlight w:val="none"/>
          <w:u w:val="single"/>
        </w:rPr>
        <w:t>                   </w:t>
      </w:r>
    </w:p>
    <w:p w14:paraId="3A71EB3E">
      <w:pPr>
        <w:widowControl/>
        <w:spacing w:after="150"/>
        <w:jc w:val="left"/>
        <w:rPr>
          <w:rFonts w:cs="宋体"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rPr>
        <w:t>日期：</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年</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月</w:t>
      </w:r>
      <w:r>
        <w:rPr>
          <w:rFonts w:cs="宋体" w:asciiTheme="minorEastAsia" w:hAnsiTheme="minorEastAsia" w:eastAsiaTheme="minorEastAsia"/>
          <w:color w:val="auto"/>
          <w:kern w:val="0"/>
          <w:sz w:val="24"/>
          <w:szCs w:val="24"/>
          <w:highlight w:val="none"/>
          <w:u w:val="single"/>
        </w:rPr>
        <w:t>   </w:t>
      </w:r>
      <w:r>
        <w:rPr>
          <w:rFonts w:hint="eastAsia" w:cs="宋体" w:asciiTheme="minorEastAsia" w:hAnsiTheme="minorEastAsia" w:eastAsiaTheme="minorEastAsia"/>
          <w:color w:val="auto"/>
          <w:kern w:val="0"/>
          <w:sz w:val="24"/>
          <w:szCs w:val="24"/>
          <w:highlight w:val="none"/>
        </w:rPr>
        <w:t>日</w:t>
      </w:r>
    </w:p>
    <w:p w14:paraId="7032686C">
      <w:pPr>
        <w:pStyle w:val="48"/>
        <w:spacing w:before="75" w:beforeAutospacing="0" w:after="75" w:afterAutospacing="0" w:line="435" w:lineRule="atLeast"/>
        <w:rPr>
          <w:rFonts w:asciiTheme="minorEastAsia" w:hAnsiTheme="minorEastAsia" w:eastAsiaTheme="minorEastAsia"/>
          <w:color w:val="auto"/>
          <w:szCs w:val="21"/>
          <w:highlight w:val="none"/>
          <w:u w:val="single"/>
        </w:rPr>
      </w:pP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080" w:bottom="1440" w:left="1080" w:header="851" w:footer="794"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panose1 w:val="02020603050405020304"/>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ˎ̥">
    <w:altName w:val="Times New Roman"/>
    <w:panose1 w:val="020B0604020202020204"/>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Times">
    <w:altName w:val="CG Times"/>
    <w:panose1 w:val="0000050000000002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ˎ̥,Verdana,Arial">
    <w:altName w:val="Times New Roman"/>
    <w:panose1 w:val="020B0604020202020204"/>
    <w:charset w:val="00"/>
    <w:family w:val="roman"/>
    <w:pitch w:val="default"/>
    <w:sig w:usb0="00000000" w:usb1="00000000" w:usb2="00000000" w:usb3="00000000" w:csb0="00040001"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宋体"/>
    <w:panose1 w:val="020B0604020202020204"/>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onotype Sorts">
    <w:altName w:val="Wingdings"/>
    <w:panose1 w:val="01010601010101010101"/>
    <w:charset w:val="02"/>
    <w:family w:val="auto"/>
    <w:pitch w:val="default"/>
    <w:sig w:usb0="00000000" w:usb1="00000000" w:usb2="00000000" w:usb3="00000000" w:csb0="80000000" w:csb1="00000000"/>
  </w:font>
  <w:font w:name="Arial Unicode MS">
    <w:panose1 w:val="020B0604020202020204"/>
    <w:charset w:val="80"/>
    <w:family w:val="swiss"/>
    <w:pitch w:val="default"/>
    <w:sig w:usb0="FFFFFFFF" w:usb1="E9FFFFFF" w:usb2="0000003F" w:usb3="00000000" w:csb0="603F01FF" w:csb1="FFFF0000"/>
  </w:font>
  <w:font w:name="Helvetica">
    <w:panose1 w:val="020B0604020202020204"/>
    <w:charset w:val="00"/>
    <w:family w:val="auto"/>
    <w:pitch w:val="default"/>
    <w:sig w:usb0="00000000" w:usb1="00000000" w:usb2="00000000" w:usb3="00000000" w:csb0="00000000" w:csb1="00000000"/>
  </w:font>
  <w:font w:name="MetaPlusLF">
    <w:altName w:val="Times New Roman"/>
    <w:panose1 w:val="020B0604020202020204"/>
    <w:charset w:val="00"/>
    <w:family w:val="auto"/>
    <w:pitch w:val="default"/>
    <w:sig w:usb0="00000000" w:usb1="00000000" w:usb2="00000000" w:usb3="00000000" w:csb0="00000097" w:csb1="00000000"/>
  </w:font>
  <w:font w:name="Times newman">
    <w:altName w:val="Courier New"/>
    <w:panose1 w:val="00000500000000020000"/>
    <w:charset w:val="00"/>
    <w:family w:val="roman"/>
    <w:pitch w:val="default"/>
    <w:sig w:usb0="00000000" w:usb1="00000000" w:usb2="00000000" w:usb3="00000000" w:csb0="00040001" w:csb1="00000000"/>
  </w:font>
  <w:font w:name="Wingdings 2">
    <w:panose1 w:val="050201020105070707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9371"/>
    </w:sdtPr>
    <w:sdtContent>
      <w:p w14:paraId="79DA7791">
        <w:pPr>
          <w:pStyle w:val="36"/>
          <w:jc w:val="center"/>
        </w:pPr>
        <w:r>
          <w:fldChar w:fldCharType="begin"/>
        </w:r>
        <w:r>
          <w:instrText xml:space="preserve"> PAGE   \* MERGEFORMAT </w:instrText>
        </w:r>
        <w:r>
          <w:fldChar w:fldCharType="separate"/>
        </w:r>
        <w:r>
          <w:rPr>
            <w:lang w:val="zh-CN"/>
          </w:rPr>
          <w:t>8</w:t>
        </w:r>
        <w:r>
          <w:rPr>
            <w:lang w:val="zh-CN"/>
          </w:rPr>
          <w:fldChar w:fldCharType="end"/>
        </w:r>
      </w:p>
    </w:sdtContent>
  </w:sdt>
  <w:p w14:paraId="72A141BC">
    <w:pPr>
      <w:pStyle w:val="3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83BA7">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4EB7">
    <w:pPr>
      <w:pStyle w:val="3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6D2A">
    <w:pPr>
      <w:jc w:val="left"/>
      <w:rPr>
        <w:rFonts w:ascii="宋体" w:hAnsi="宋体"/>
        <w:szCs w:val="21"/>
        <w:shd w:val="pct10" w:color="auto" w:fill="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62B08">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0D59F">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A738EC0C"/>
    <w:multiLevelType w:val="singleLevel"/>
    <w:tmpl w:val="A738EC0C"/>
    <w:lvl w:ilvl="0" w:tentative="0">
      <w:start w:val="1"/>
      <w:numFmt w:val="decimal"/>
      <w:suff w:val="nothing"/>
      <w:lvlText w:val="（%1）"/>
      <w:lvlJc w:val="left"/>
    </w:lvl>
  </w:abstractNum>
  <w:abstractNum w:abstractNumId="1">
    <w:nsid w:val="AF981182"/>
    <w:multiLevelType w:val="singleLevel"/>
    <w:tmpl w:val="AF981182"/>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420"/>
        </w:tabs>
        <w:ind w:left="420" w:hanging="420"/>
      </w:pPr>
      <w:rPr>
        <w:rFonts w:hint="eastAsia"/>
      </w:rPr>
    </w:lvl>
    <w:lvl w:ilvl="1" w:tentative="0">
      <w:start w:val="1"/>
      <w:numFmt w:val="bullet"/>
      <w:lvlText w:val=""/>
      <w:lvlPicBulletId w:val="0"/>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398"/>
      <w:lvlText w:val="%5)"/>
      <w:lvlJc w:val="left"/>
      <w:pPr>
        <w:tabs>
          <w:tab w:val="left" w:pos="2100"/>
        </w:tabs>
        <w:ind w:left="2100" w:hanging="420"/>
      </w:pPr>
    </w:lvl>
    <w:lvl w:ilvl="5" w:tentative="0">
      <w:start w:val="1"/>
      <w:numFmt w:val="lowerRoman"/>
      <w:pStyle w:val="302"/>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F"/>
    <w:multiLevelType w:val="singleLevel"/>
    <w:tmpl w:val="0000000F"/>
    <w:lvl w:ilvl="0" w:tentative="0">
      <w:start w:val="1"/>
      <w:numFmt w:val="bullet"/>
      <w:pStyle w:val="483"/>
      <w:lvlText w:val="–"/>
      <w:lvlJc w:val="left"/>
      <w:pPr>
        <w:tabs>
          <w:tab w:val="left" w:pos="360"/>
        </w:tabs>
        <w:ind w:left="113" w:hanging="113"/>
      </w:pPr>
      <w:rPr>
        <w:rFonts w:hint="default" w:ascii="MetaPlusLF" w:hAnsi="MetaPlusLF"/>
        <w:b w:val="0"/>
        <w:i w:val="0"/>
        <w:color w:val="auto"/>
        <w:spacing w:val="0"/>
        <w:w w:val="100"/>
        <w:position w:val="0"/>
        <w:sz w:val="15"/>
        <w:u w:val="none"/>
      </w:rPr>
    </w:lvl>
  </w:abstractNum>
  <w:abstractNum w:abstractNumId="4">
    <w:nsid w:val="053C0911"/>
    <w:multiLevelType w:val="multilevel"/>
    <w:tmpl w:val="053C0911"/>
    <w:lvl w:ilvl="0" w:tentative="0">
      <w:start w:val="1"/>
      <w:numFmt w:val="decimal"/>
      <w:pStyle w:val="387"/>
      <w:lvlText w:val="SY1A-EQU-FUN-%1"/>
      <w:lvlJc w:val="left"/>
      <w:pPr>
        <w:tabs>
          <w:tab w:val="left" w:pos="1985"/>
        </w:tabs>
        <w:ind w:left="1985" w:hanging="1985"/>
      </w:pPr>
      <w:rPr>
        <w:rFonts w:hint="default" w:ascii="Times New Roman" w:hAnsi="Times New Roman" w:eastAsia="宋体"/>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A6033BE"/>
    <w:multiLevelType w:val="multilevel"/>
    <w:tmpl w:val="0A6033BE"/>
    <w:lvl w:ilvl="0" w:tentative="0">
      <w:start w:val="1"/>
      <w:numFmt w:val="decimal"/>
      <w:pStyle w:val="401"/>
      <w:lvlText w:val="%1）"/>
      <w:lvlJc w:val="left"/>
      <w:pPr>
        <w:tabs>
          <w:tab w:val="left" w:pos="420"/>
        </w:tabs>
        <w:ind w:left="420" w:hanging="420"/>
      </w:pPr>
      <w:rPr>
        <w:rFonts w:hint="default" w:ascii="Times New Roman" w:hAnsi="Times New Roman" w:eastAsia="宋体"/>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3D92318"/>
    <w:multiLevelType w:val="multilevel"/>
    <w:tmpl w:val="13D92318"/>
    <w:lvl w:ilvl="0" w:tentative="0">
      <w:start w:val="1"/>
      <w:numFmt w:val="bullet"/>
      <w:pStyle w:val="44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08E2084"/>
    <w:multiLevelType w:val="multilevel"/>
    <w:tmpl w:val="208E2084"/>
    <w:lvl w:ilvl="0" w:tentative="0">
      <w:start w:val="1"/>
      <w:numFmt w:val="decimal"/>
      <w:lvlText w:val="SY1A-SYS-PER-%1"/>
      <w:lvlJc w:val="left"/>
      <w:pPr>
        <w:tabs>
          <w:tab w:val="left" w:pos="1985"/>
        </w:tabs>
        <w:ind w:left="1985" w:hanging="1985"/>
      </w:pPr>
      <w:rPr>
        <w:rFonts w:hint="default" w:ascii="Times New Roman" w:hAnsi="Times New Roman"/>
        <w:b w:val="0"/>
        <w:i w:val="0"/>
        <w:sz w:val="21"/>
        <w:szCs w:val="21"/>
      </w:rPr>
    </w:lvl>
    <w:lvl w:ilvl="1" w:tentative="0">
      <w:start w:val="1"/>
      <w:numFmt w:val="lowerLetter"/>
      <w:pStyle w:val="376"/>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24ECF05"/>
    <w:multiLevelType w:val="singleLevel"/>
    <w:tmpl w:val="324ECF05"/>
    <w:lvl w:ilvl="0" w:tentative="0">
      <w:start w:val="7"/>
      <w:numFmt w:val="decimal"/>
      <w:suff w:val="nothing"/>
      <w:lvlText w:val="%1、"/>
      <w:lvlJc w:val="left"/>
    </w:lvl>
  </w:abstractNum>
  <w:abstractNum w:abstractNumId="9">
    <w:nsid w:val="33BD07E8"/>
    <w:multiLevelType w:val="multilevel"/>
    <w:tmpl w:val="33BD07E8"/>
    <w:lvl w:ilvl="0" w:tentative="0">
      <w:start w:val="1"/>
      <w:numFmt w:val="decimal"/>
      <w:pStyle w:val="353"/>
      <w:lvlText w:val="%1."/>
      <w:lvlJc w:val="left"/>
      <w:pPr>
        <w:tabs>
          <w:tab w:val="left" w:pos="907"/>
        </w:tabs>
        <w:ind w:left="907" w:hanging="453"/>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A9D59D1"/>
    <w:multiLevelType w:val="multilevel"/>
    <w:tmpl w:val="3A9D59D1"/>
    <w:lvl w:ilvl="0" w:tentative="0">
      <w:start w:val="1"/>
      <w:numFmt w:val="bullet"/>
      <w:pStyle w:val="322"/>
      <w:lvlText w:val=""/>
      <w:lvlJc w:val="left"/>
      <w:pPr>
        <w:tabs>
          <w:tab w:val="left" w:pos="1928"/>
        </w:tabs>
        <w:ind w:left="1928" w:hanging="374"/>
      </w:pPr>
      <w:rPr>
        <w:rFonts w:hint="default" w:ascii="Wingdings" w:hAnsi="Wingdings"/>
        <w:sz w:val="24"/>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560"/>
        </w:tabs>
        <w:ind w:left="1560" w:hanging="420"/>
      </w:pPr>
      <w:rPr>
        <w:rFonts w:hint="default" w:ascii="Wingdings" w:hAnsi="Wingdings"/>
      </w:rPr>
    </w:lvl>
    <w:lvl w:ilvl="3" w:tentative="0">
      <w:start w:val="1"/>
      <w:numFmt w:val="bullet"/>
      <w:lvlText w:val=""/>
      <w:lvlJc w:val="left"/>
      <w:pPr>
        <w:tabs>
          <w:tab w:val="left" w:pos="1980"/>
        </w:tabs>
        <w:ind w:left="1980" w:hanging="420"/>
      </w:pPr>
      <w:rPr>
        <w:rFonts w:hint="default" w:ascii="Wingdings" w:hAnsi="Wingdings"/>
      </w:rPr>
    </w:lvl>
    <w:lvl w:ilvl="4" w:tentative="0">
      <w:start w:val="1"/>
      <w:numFmt w:val="bullet"/>
      <w:lvlText w:val=""/>
      <w:lvlJc w:val="left"/>
      <w:pPr>
        <w:tabs>
          <w:tab w:val="left" w:pos="2400"/>
        </w:tabs>
        <w:ind w:left="2400" w:hanging="420"/>
      </w:pPr>
      <w:rPr>
        <w:rFonts w:hint="default" w:ascii="Wingdings" w:hAnsi="Wingdings"/>
      </w:rPr>
    </w:lvl>
    <w:lvl w:ilvl="5" w:tentative="0">
      <w:start w:val="1"/>
      <w:numFmt w:val="bullet"/>
      <w:lvlText w:val=""/>
      <w:lvlJc w:val="left"/>
      <w:pPr>
        <w:tabs>
          <w:tab w:val="left" w:pos="2820"/>
        </w:tabs>
        <w:ind w:left="2820" w:hanging="420"/>
      </w:pPr>
      <w:rPr>
        <w:rFonts w:hint="default" w:ascii="Wingdings" w:hAnsi="Wingdings"/>
      </w:rPr>
    </w:lvl>
    <w:lvl w:ilvl="6" w:tentative="0">
      <w:start w:val="1"/>
      <w:numFmt w:val="bullet"/>
      <w:lvlText w:val=""/>
      <w:lvlJc w:val="left"/>
      <w:pPr>
        <w:tabs>
          <w:tab w:val="left" w:pos="3240"/>
        </w:tabs>
        <w:ind w:left="3240" w:hanging="420"/>
      </w:pPr>
      <w:rPr>
        <w:rFonts w:hint="default" w:ascii="Wingdings" w:hAnsi="Wingdings"/>
      </w:rPr>
    </w:lvl>
    <w:lvl w:ilvl="7" w:tentative="0">
      <w:start w:val="1"/>
      <w:numFmt w:val="bullet"/>
      <w:lvlText w:val=""/>
      <w:lvlJc w:val="left"/>
      <w:pPr>
        <w:tabs>
          <w:tab w:val="left" w:pos="3660"/>
        </w:tabs>
        <w:ind w:left="3660" w:hanging="420"/>
      </w:pPr>
      <w:rPr>
        <w:rFonts w:hint="default" w:ascii="Wingdings" w:hAnsi="Wingdings"/>
      </w:rPr>
    </w:lvl>
    <w:lvl w:ilvl="8" w:tentative="0">
      <w:start w:val="1"/>
      <w:numFmt w:val="bullet"/>
      <w:lvlText w:val=""/>
      <w:lvlJc w:val="left"/>
      <w:pPr>
        <w:tabs>
          <w:tab w:val="left" w:pos="4080"/>
        </w:tabs>
        <w:ind w:left="4080" w:hanging="420"/>
      </w:pPr>
      <w:rPr>
        <w:rFonts w:hint="default" w:ascii="Wingdings" w:hAnsi="Wingdings"/>
      </w:rPr>
    </w:lvl>
  </w:abstractNum>
  <w:abstractNum w:abstractNumId="11">
    <w:nsid w:val="49591AFD"/>
    <w:multiLevelType w:val="multilevel"/>
    <w:tmpl w:val="49591AFD"/>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pStyle w:val="3"/>
      <w:suff w:val="nothing"/>
      <w:lvlText w:val="%2"/>
      <w:lvlJc w:val="left"/>
      <w:pPr>
        <w:ind w:left="0" w:firstLine="0"/>
      </w:pPr>
      <w:rPr>
        <w:rFonts w:hint="default" w:ascii="CG Times" w:hAnsi="CG Times"/>
        <w:b/>
        <w:i w:val="0"/>
        <w:sz w:val="28"/>
      </w:rPr>
    </w:lvl>
    <w:lvl w:ilvl="2" w:tentative="0">
      <w:start w:val="1"/>
      <w:numFmt w:val="decimal"/>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2">
    <w:nsid w:val="559B732E"/>
    <w:multiLevelType w:val="singleLevel"/>
    <w:tmpl w:val="559B732E"/>
    <w:lvl w:ilvl="0" w:tentative="0">
      <w:start w:val="1"/>
      <w:numFmt w:val="decimal"/>
      <w:pStyle w:val="268"/>
      <w:suff w:val="nothing"/>
      <w:lvlText w:val="(%1)"/>
      <w:lvlJc w:val="left"/>
    </w:lvl>
  </w:abstractNum>
  <w:abstractNum w:abstractNumId="13">
    <w:nsid w:val="55A380C3"/>
    <w:multiLevelType w:val="singleLevel"/>
    <w:tmpl w:val="55A380C3"/>
    <w:lvl w:ilvl="0" w:tentative="0">
      <w:start w:val="2"/>
      <w:numFmt w:val="decimal"/>
      <w:pStyle w:val="288"/>
      <w:suff w:val="nothing"/>
      <w:lvlText w:val="%1、"/>
      <w:lvlJc w:val="left"/>
    </w:lvl>
  </w:abstractNum>
  <w:abstractNum w:abstractNumId="14">
    <w:nsid w:val="5625B2EF"/>
    <w:multiLevelType w:val="singleLevel"/>
    <w:tmpl w:val="5625B2EF"/>
    <w:lvl w:ilvl="0" w:tentative="0">
      <w:start w:val="1"/>
      <w:numFmt w:val="decimal"/>
      <w:pStyle w:val="281"/>
      <w:suff w:val="nothing"/>
      <w:lvlText w:val="（%1）"/>
      <w:lvlJc w:val="left"/>
    </w:lvl>
  </w:abstractNum>
  <w:abstractNum w:abstractNumId="15">
    <w:nsid w:val="578B3BD2"/>
    <w:multiLevelType w:val="multilevel"/>
    <w:tmpl w:val="578B3BD2"/>
    <w:lvl w:ilvl="0" w:tentative="0">
      <w:start w:val="1"/>
      <w:numFmt w:val="decimal"/>
      <w:pStyle w:val="369"/>
      <w:lvlText w:val="%1"/>
      <w:lvlJc w:val="left"/>
      <w:pPr>
        <w:tabs>
          <w:tab w:val="left" w:pos="480"/>
        </w:tabs>
        <w:ind w:left="480" w:hanging="480"/>
      </w:pPr>
      <w:rPr>
        <w:rFonts w:hint="eastAsia"/>
        <w:sz w:val="44"/>
        <w:szCs w:val="44"/>
      </w:rPr>
    </w:lvl>
    <w:lvl w:ilvl="1" w:tentative="0">
      <w:start w:val="1"/>
      <w:numFmt w:val="decimal"/>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440"/>
        </w:tabs>
        <w:ind w:left="144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67A20BF0"/>
    <w:multiLevelType w:val="multilevel"/>
    <w:tmpl w:val="67A20BF0"/>
    <w:lvl w:ilvl="0" w:tentative="0">
      <w:start w:val="1"/>
      <w:numFmt w:val="bullet"/>
      <w:pStyle w:val="305"/>
      <w:suff w:val="space"/>
      <w:lvlText w:val=""/>
      <w:lvlJc w:val="left"/>
      <w:pPr>
        <w:ind w:left="737" w:hanging="283"/>
      </w:pPr>
      <w:rPr>
        <w:rFonts w:hint="default" w:ascii="Monotype Sorts" w:hAnsi="Monotype Sorts"/>
        <w:b w:val="0"/>
        <w:i w:val="0"/>
        <w:sz w:val="24"/>
      </w:rPr>
    </w:lvl>
    <w:lvl w:ilvl="1" w:tentative="0">
      <w:start w:val="1"/>
      <w:numFmt w:val="bullet"/>
      <w:suff w:val="space"/>
      <w:lvlText w:val=""/>
      <w:lvlJc w:val="left"/>
      <w:pPr>
        <w:ind w:left="1021" w:hanging="284"/>
      </w:pPr>
      <w:rPr>
        <w:rFonts w:hint="default" w:ascii="Monotype Sorts" w:hAnsi="Monotype Sorts"/>
        <w:b w:val="0"/>
        <w:i w:val="0"/>
        <w:sz w:val="24"/>
      </w:rPr>
    </w:lvl>
    <w:lvl w:ilvl="2" w:tentative="0">
      <w:start w:val="1"/>
      <w:numFmt w:val="bullet"/>
      <w:suff w:val="space"/>
      <w:lvlText w:val=""/>
      <w:lvlJc w:val="left"/>
      <w:pPr>
        <w:ind w:left="1361" w:hanging="340"/>
      </w:pPr>
      <w:rPr>
        <w:rFonts w:hint="default" w:ascii="Wingdings" w:hAnsi="Wingdings"/>
        <w:sz w:val="21"/>
      </w:rPr>
    </w:lvl>
    <w:lvl w:ilvl="3" w:tentative="0">
      <w:start w:val="1"/>
      <w:numFmt w:val="bullet"/>
      <w:lvlText w:val=""/>
      <w:lvlJc w:val="left"/>
      <w:pPr>
        <w:tabs>
          <w:tab w:val="left" w:pos="1721"/>
        </w:tabs>
        <w:ind w:left="1588" w:hanging="227"/>
      </w:pPr>
      <w:rPr>
        <w:rFonts w:hint="default" w:ascii="Wingdings" w:hAnsi="Wingdings"/>
        <w:sz w:val="24"/>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1"/>
  </w:num>
  <w:num w:numId="2">
    <w:abstractNumId w:val="12"/>
  </w:num>
  <w:num w:numId="3">
    <w:abstractNumId w:val="14"/>
  </w:num>
  <w:num w:numId="4">
    <w:abstractNumId w:val="13"/>
  </w:num>
  <w:num w:numId="5">
    <w:abstractNumId w:val="2"/>
  </w:num>
  <w:num w:numId="6">
    <w:abstractNumId w:val="16"/>
  </w:num>
  <w:num w:numId="7">
    <w:abstractNumId w:val="10"/>
  </w:num>
  <w:num w:numId="8">
    <w:abstractNumId w:val="9"/>
  </w:num>
  <w:num w:numId="9">
    <w:abstractNumId w:val="15"/>
  </w:num>
  <w:num w:numId="10">
    <w:abstractNumId w:val="7"/>
  </w:num>
  <w:num w:numId="11">
    <w:abstractNumId w:val="4"/>
  </w:num>
  <w:num w:numId="12">
    <w:abstractNumId w:val="5"/>
  </w:num>
  <w:num w:numId="13">
    <w:abstractNumId w:val="6"/>
  </w:num>
  <w:num w:numId="14">
    <w:abstractNumId w:val="3"/>
  </w:num>
  <w:num w:numId="15">
    <w:abstractNumId w:val="0"/>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xMTcyYzQzNDE2OWI1MjhjYmMwOTMyY2YzMGQ3MTcifQ=="/>
  </w:docVars>
  <w:rsids>
    <w:rsidRoot w:val="00172A27"/>
    <w:rsid w:val="00000E71"/>
    <w:rsid w:val="00001E7D"/>
    <w:rsid w:val="0000516F"/>
    <w:rsid w:val="0000580A"/>
    <w:rsid w:val="000106A6"/>
    <w:rsid w:val="000122B4"/>
    <w:rsid w:val="00015312"/>
    <w:rsid w:val="000159A6"/>
    <w:rsid w:val="0001660A"/>
    <w:rsid w:val="00016C1D"/>
    <w:rsid w:val="00017E4B"/>
    <w:rsid w:val="000213D7"/>
    <w:rsid w:val="00021922"/>
    <w:rsid w:val="0002381F"/>
    <w:rsid w:val="000250FF"/>
    <w:rsid w:val="00025456"/>
    <w:rsid w:val="00026E97"/>
    <w:rsid w:val="000327D8"/>
    <w:rsid w:val="00033C1D"/>
    <w:rsid w:val="00036BD1"/>
    <w:rsid w:val="000423D5"/>
    <w:rsid w:val="0004342F"/>
    <w:rsid w:val="000520D5"/>
    <w:rsid w:val="000527AF"/>
    <w:rsid w:val="00053056"/>
    <w:rsid w:val="00054541"/>
    <w:rsid w:val="00055A2E"/>
    <w:rsid w:val="00057728"/>
    <w:rsid w:val="0006400B"/>
    <w:rsid w:val="000649B0"/>
    <w:rsid w:val="00070AE3"/>
    <w:rsid w:val="00072F37"/>
    <w:rsid w:val="00073716"/>
    <w:rsid w:val="000737A9"/>
    <w:rsid w:val="00075A8A"/>
    <w:rsid w:val="00080E05"/>
    <w:rsid w:val="0008570D"/>
    <w:rsid w:val="00086C8C"/>
    <w:rsid w:val="00087FC6"/>
    <w:rsid w:val="00095E95"/>
    <w:rsid w:val="000A0F06"/>
    <w:rsid w:val="000A14C6"/>
    <w:rsid w:val="000A1F2E"/>
    <w:rsid w:val="000A3734"/>
    <w:rsid w:val="000A5C78"/>
    <w:rsid w:val="000A6D84"/>
    <w:rsid w:val="000A75F5"/>
    <w:rsid w:val="000B5401"/>
    <w:rsid w:val="000C02DF"/>
    <w:rsid w:val="000C45C7"/>
    <w:rsid w:val="000C4B2C"/>
    <w:rsid w:val="000C6D04"/>
    <w:rsid w:val="000D3C9C"/>
    <w:rsid w:val="000D4A5F"/>
    <w:rsid w:val="000D5BD9"/>
    <w:rsid w:val="000D6566"/>
    <w:rsid w:val="000D6CA4"/>
    <w:rsid w:val="000E0D8A"/>
    <w:rsid w:val="000E3F46"/>
    <w:rsid w:val="000E5834"/>
    <w:rsid w:val="000F054D"/>
    <w:rsid w:val="000F18A9"/>
    <w:rsid w:val="000F3365"/>
    <w:rsid w:val="000F348C"/>
    <w:rsid w:val="000F452F"/>
    <w:rsid w:val="000F7D8B"/>
    <w:rsid w:val="00100BC4"/>
    <w:rsid w:val="0010180F"/>
    <w:rsid w:val="001028D3"/>
    <w:rsid w:val="00103EF7"/>
    <w:rsid w:val="001053FC"/>
    <w:rsid w:val="001054A4"/>
    <w:rsid w:val="001073A8"/>
    <w:rsid w:val="00111F4C"/>
    <w:rsid w:val="0012054B"/>
    <w:rsid w:val="00121444"/>
    <w:rsid w:val="00122467"/>
    <w:rsid w:val="00125ADF"/>
    <w:rsid w:val="00126257"/>
    <w:rsid w:val="001308F0"/>
    <w:rsid w:val="0013342A"/>
    <w:rsid w:val="001350F9"/>
    <w:rsid w:val="00135E34"/>
    <w:rsid w:val="00137275"/>
    <w:rsid w:val="0013742D"/>
    <w:rsid w:val="00140938"/>
    <w:rsid w:val="001425DE"/>
    <w:rsid w:val="00142AB6"/>
    <w:rsid w:val="00142BE5"/>
    <w:rsid w:val="0014690F"/>
    <w:rsid w:val="00146A69"/>
    <w:rsid w:val="00147122"/>
    <w:rsid w:val="00147164"/>
    <w:rsid w:val="00147B1F"/>
    <w:rsid w:val="00152EAD"/>
    <w:rsid w:val="00153D3D"/>
    <w:rsid w:val="001543FA"/>
    <w:rsid w:val="001548B1"/>
    <w:rsid w:val="001574AB"/>
    <w:rsid w:val="00160325"/>
    <w:rsid w:val="001652E6"/>
    <w:rsid w:val="00170C12"/>
    <w:rsid w:val="00171CB4"/>
    <w:rsid w:val="00172215"/>
    <w:rsid w:val="0017276F"/>
    <w:rsid w:val="00172A27"/>
    <w:rsid w:val="00172A6B"/>
    <w:rsid w:val="0017331D"/>
    <w:rsid w:val="001748A4"/>
    <w:rsid w:val="00174ED8"/>
    <w:rsid w:val="0018267B"/>
    <w:rsid w:val="001847CB"/>
    <w:rsid w:val="001907B0"/>
    <w:rsid w:val="00191DE1"/>
    <w:rsid w:val="00192AEC"/>
    <w:rsid w:val="00192FB4"/>
    <w:rsid w:val="00197DB4"/>
    <w:rsid w:val="001A0652"/>
    <w:rsid w:val="001A2CF9"/>
    <w:rsid w:val="001A55A1"/>
    <w:rsid w:val="001A6159"/>
    <w:rsid w:val="001A67A0"/>
    <w:rsid w:val="001B36A1"/>
    <w:rsid w:val="001B45D5"/>
    <w:rsid w:val="001B4A39"/>
    <w:rsid w:val="001B7E73"/>
    <w:rsid w:val="001C02B2"/>
    <w:rsid w:val="001C3B3D"/>
    <w:rsid w:val="001E0B92"/>
    <w:rsid w:val="001E468B"/>
    <w:rsid w:val="001F258E"/>
    <w:rsid w:val="001F3DD7"/>
    <w:rsid w:val="001F4521"/>
    <w:rsid w:val="001F5F41"/>
    <w:rsid w:val="001F7355"/>
    <w:rsid w:val="001F7A89"/>
    <w:rsid w:val="002000B7"/>
    <w:rsid w:val="002059CE"/>
    <w:rsid w:val="0021169E"/>
    <w:rsid w:val="00212F01"/>
    <w:rsid w:val="00216895"/>
    <w:rsid w:val="002171A7"/>
    <w:rsid w:val="00220043"/>
    <w:rsid w:val="002219D8"/>
    <w:rsid w:val="0022237C"/>
    <w:rsid w:val="00222A13"/>
    <w:rsid w:val="00223096"/>
    <w:rsid w:val="00225D13"/>
    <w:rsid w:val="002263AA"/>
    <w:rsid w:val="00235043"/>
    <w:rsid w:val="00237562"/>
    <w:rsid w:val="00237B88"/>
    <w:rsid w:val="00242AD1"/>
    <w:rsid w:val="002431A4"/>
    <w:rsid w:val="00247E6D"/>
    <w:rsid w:val="0025181A"/>
    <w:rsid w:val="00252328"/>
    <w:rsid w:val="002523D7"/>
    <w:rsid w:val="0025384A"/>
    <w:rsid w:val="002546B6"/>
    <w:rsid w:val="0026031E"/>
    <w:rsid w:val="00264651"/>
    <w:rsid w:val="00266285"/>
    <w:rsid w:val="0027343E"/>
    <w:rsid w:val="00274AEA"/>
    <w:rsid w:val="00276801"/>
    <w:rsid w:val="002805D2"/>
    <w:rsid w:val="002845AE"/>
    <w:rsid w:val="002877A4"/>
    <w:rsid w:val="00287B6C"/>
    <w:rsid w:val="00291D9F"/>
    <w:rsid w:val="0029270E"/>
    <w:rsid w:val="00293C88"/>
    <w:rsid w:val="00294744"/>
    <w:rsid w:val="00296159"/>
    <w:rsid w:val="00296AD9"/>
    <w:rsid w:val="002A0354"/>
    <w:rsid w:val="002A26EB"/>
    <w:rsid w:val="002A2855"/>
    <w:rsid w:val="002A2ABB"/>
    <w:rsid w:val="002A4DA4"/>
    <w:rsid w:val="002B0A3D"/>
    <w:rsid w:val="002B156E"/>
    <w:rsid w:val="002B60D5"/>
    <w:rsid w:val="002B6C5E"/>
    <w:rsid w:val="002C088A"/>
    <w:rsid w:val="002C0CB3"/>
    <w:rsid w:val="002C558D"/>
    <w:rsid w:val="002D0DD1"/>
    <w:rsid w:val="002D5A0D"/>
    <w:rsid w:val="002E03BE"/>
    <w:rsid w:val="002E1C24"/>
    <w:rsid w:val="002E1EB3"/>
    <w:rsid w:val="002E4D83"/>
    <w:rsid w:val="002E636A"/>
    <w:rsid w:val="002F07A7"/>
    <w:rsid w:val="002F355E"/>
    <w:rsid w:val="002F3B9C"/>
    <w:rsid w:val="002F47C9"/>
    <w:rsid w:val="002F49CB"/>
    <w:rsid w:val="002F5E2B"/>
    <w:rsid w:val="0030024A"/>
    <w:rsid w:val="00300484"/>
    <w:rsid w:val="00302803"/>
    <w:rsid w:val="0030294B"/>
    <w:rsid w:val="00303DDF"/>
    <w:rsid w:val="00305DFD"/>
    <w:rsid w:val="00306617"/>
    <w:rsid w:val="00311906"/>
    <w:rsid w:val="00313340"/>
    <w:rsid w:val="003134F3"/>
    <w:rsid w:val="00313A47"/>
    <w:rsid w:val="00313F40"/>
    <w:rsid w:val="00315541"/>
    <w:rsid w:val="00315861"/>
    <w:rsid w:val="00321B6D"/>
    <w:rsid w:val="00321F68"/>
    <w:rsid w:val="00325EBF"/>
    <w:rsid w:val="003260E5"/>
    <w:rsid w:val="00326109"/>
    <w:rsid w:val="00327738"/>
    <w:rsid w:val="00330550"/>
    <w:rsid w:val="003321E6"/>
    <w:rsid w:val="00333EB4"/>
    <w:rsid w:val="00336F2D"/>
    <w:rsid w:val="00337C2B"/>
    <w:rsid w:val="00341B6E"/>
    <w:rsid w:val="00345358"/>
    <w:rsid w:val="0034763E"/>
    <w:rsid w:val="003519AE"/>
    <w:rsid w:val="003530F4"/>
    <w:rsid w:val="00353FD2"/>
    <w:rsid w:val="00355970"/>
    <w:rsid w:val="003577B9"/>
    <w:rsid w:val="003605F8"/>
    <w:rsid w:val="003613BE"/>
    <w:rsid w:val="0036192D"/>
    <w:rsid w:val="0036274F"/>
    <w:rsid w:val="00365216"/>
    <w:rsid w:val="00365477"/>
    <w:rsid w:val="003701B3"/>
    <w:rsid w:val="00376482"/>
    <w:rsid w:val="00380F09"/>
    <w:rsid w:val="00383AE9"/>
    <w:rsid w:val="0039277E"/>
    <w:rsid w:val="00392E07"/>
    <w:rsid w:val="003931E7"/>
    <w:rsid w:val="003A35AA"/>
    <w:rsid w:val="003A6992"/>
    <w:rsid w:val="003A725E"/>
    <w:rsid w:val="003A7579"/>
    <w:rsid w:val="003B1D0A"/>
    <w:rsid w:val="003B20F9"/>
    <w:rsid w:val="003B5756"/>
    <w:rsid w:val="003B6FB0"/>
    <w:rsid w:val="003C060F"/>
    <w:rsid w:val="003C492E"/>
    <w:rsid w:val="003C6524"/>
    <w:rsid w:val="003C7833"/>
    <w:rsid w:val="003D7D9E"/>
    <w:rsid w:val="003E311D"/>
    <w:rsid w:val="003E44F4"/>
    <w:rsid w:val="003E5E99"/>
    <w:rsid w:val="003F0F90"/>
    <w:rsid w:val="003F5854"/>
    <w:rsid w:val="003F5C50"/>
    <w:rsid w:val="004032E5"/>
    <w:rsid w:val="00413DC0"/>
    <w:rsid w:val="004153D6"/>
    <w:rsid w:val="004163E5"/>
    <w:rsid w:val="00417036"/>
    <w:rsid w:val="004204F0"/>
    <w:rsid w:val="00422FCF"/>
    <w:rsid w:val="00423DF5"/>
    <w:rsid w:val="00425A2B"/>
    <w:rsid w:val="00432D18"/>
    <w:rsid w:val="004343C3"/>
    <w:rsid w:val="0043578C"/>
    <w:rsid w:val="00436331"/>
    <w:rsid w:val="00441E22"/>
    <w:rsid w:val="0044388C"/>
    <w:rsid w:val="004438EA"/>
    <w:rsid w:val="00446CDA"/>
    <w:rsid w:val="00451502"/>
    <w:rsid w:val="00451B9D"/>
    <w:rsid w:val="004558C7"/>
    <w:rsid w:val="00457226"/>
    <w:rsid w:val="00457731"/>
    <w:rsid w:val="00462F48"/>
    <w:rsid w:val="00463BB7"/>
    <w:rsid w:val="0046479F"/>
    <w:rsid w:val="0046757B"/>
    <w:rsid w:val="0046788E"/>
    <w:rsid w:val="00474B10"/>
    <w:rsid w:val="0047795C"/>
    <w:rsid w:val="00481ED2"/>
    <w:rsid w:val="0048490A"/>
    <w:rsid w:val="0048557C"/>
    <w:rsid w:val="004870E4"/>
    <w:rsid w:val="00490610"/>
    <w:rsid w:val="00492332"/>
    <w:rsid w:val="00493824"/>
    <w:rsid w:val="00497A95"/>
    <w:rsid w:val="004A0A5A"/>
    <w:rsid w:val="004A1735"/>
    <w:rsid w:val="004A38D9"/>
    <w:rsid w:val="004A4975"/>
    <w:rsid w:val="004A599E"/>
    <w:rsid w:val="004A72FC"/>
    <w:rsid w:val="004B02D0"/>
    <w:rsid w:val="004B2E60"/>
    <w:rsid w:val="004B470E"/>
    <w:rsid w:val="004B4789"/>
    <w:rsid w:val="004B7E58"/>
    <w:rsid w:val="004C04D1"/>
    <w:rsid w:val="004C62AF"/>
    <w:rsid w:val="004D3E76"/>
    <w:rsid w:val="004D49B6"/>
    <w:rsid w:val="004D6436"/>
    <w:rsid w:val="004D6464"/>
    <w:rsid w:val="004E1DCE"/>
    <w:rsid w:val="004E3744"/>
    <w:rsid w:val="004E71CE"/>
    <w:rsid w:val="004E7EBB"/>
    <w:rsid w:val="004F05E2"/>
    <w:rsid w:val="0050592E"/>
    <w:rsid w:val="00506C1F"/>
    <w:rsid w:val="0051025A"/>
    <w:rsid w:val="005135C5"/>
    <w:rsid w:val="00520D79"/>
    <w:rsid w:val="00521C95"/>
    <w:rsid w:val="00537840"/>
    <w:rsid w:val="00537C39"/>
    <w:rsid w:val="00540B8E"/>
    <w:rsid w:val="00541B6A"/>
    <w:rsid w:val="00544544"/>
    <w:rsid w:val="005447D9"/>
    <w:rsid w:val="00545948"/>
    <w:rsid w:val="00552648"/>
    <w:rsid w:val="00554EC2"/>
    <w:rsid w:val="00555387"/>
    <w:rsid w:val="00555EFD"/>
    <w:rsid w:val="005603D7"/>
    <w:rsid w:val="00561718"/>
    <w:rsid w:val="00561FB7"/>
    <w:rsid w:val="00563856"/>
    <w:rsid w:val="0056448E"/>
    <w:rsid w:val="00567F32"/>
    <w:rsid w:val="0057122E"/>
    <w:rsid w:val="0057443B"/>
    <w:rsid w:val="00576D92"/>
    <w:rsid w:val="005778DB"/>
    <w:rsid w:val="00581889"/>
    <w:rsid w:val="00582577"/>
    <w:rsid w:val="00582859"/>
    <w:rsid w:val="005864ED"/>
    <w:rsid w:val="005876AE"/>
    <w:rsid w:val="005904EB"/>
    <w:rsid w:val="00591B6D"/>
    <w:rsid w:val="00592576"/>
    <w:rsid w:val="00592D86"/>
    <w:rsid w:val="00593521"/>
    <w:rsid w:val="00593A21"/>
    <w:rsid w:val="00595934"/>
    <w:rsid w:val="005A1B12"/>
    <w:rsid w:val="005A1EF0"/>
    <w:rsid w:val="005A3BEB"/>
    <w:rsid w:val="005A56ED"/>
    <w:rsid w:val="005A7FEA"/>
    <w:rsid w:val="005B1811"/>
    <w:rsid w:val="005B21DB"/>
    <w:rsid w:val="005B2E07"/>
    <w:rsid w:val="005B3DE6"/>
    <w:rsid w:val="005B5516"/>
    <w:rsid w:val="005B64B5"/>
    <w:rsid w:val="005B691F"/>
    <w:rsid w:val="005B6EFC"/>
    <w:rsid w:val="005C2785"/>
    <w:rsid w:val="005D17C7"/>
    <w:rsid w:val="005D204A"/>
    <w:rsid w:val="005D268F"/>
    <w:rsid w:val="005D446B"/>
    <w:rsid w:val="005E20D3"/>
    <w:rsid w:val="005F2461"/>
    <w:rsid w:val="005F2603"/>
    <w:rsid w:val="005F4BD0"/>
    <w:rsid w:val="005F6618"/>
    <w:rsid w:val="005F6BE1"/>
    <w:rsid w:val="005F7C83"/>
    <w:rsid w:val="00600AA2"/>
    <w:rsid w:val="00603146"/>
    <w:rsid w:val="00604657"/>
    <w:rsid w:val="0060480A"/>
    <w:rsid w:val="006048B8"/>
    <w:rsid w:val="0060579C"/>
    <w:rsid w:val="00606CB4"/>
    <w:rsid w:val="00607906"/>
    <w:rsid w:val="00607CF9"/>
    <w:rsid w:val="00607CFC"/>
    <w:rsid w:val="00610F82"/>
    <w:rsid w:val="006127B6"/>
    <w:rsid w:val="00614BE7"/>
    <w:rsid w:val="0061561E"/>
    <w:rsid w:val="006174D2"/>
    <w:rsid w:val="00617A23"/>
    <w:rsid w:val="006235E6"/>
    <w:rsid w:val="00627BB3"/>
    <w:rsid w:val="00627FCA"/>
    <w:rsid w:val="006308F1"/>
    <w:rsid w:val="00634818"/>
    <w:rsid w:val="00635ED1"/>
    <w:rsid w:val="00637A7D"/>
    <w:rsid w:val="00637CDF"/>
    <w:rsid w:val="00640736"/>
    <w:rsid w:val="00646451"/>
    <w:rsid w:val="006468AA"/>
    <w:rsid w:val="0065396B"/>
    <w:rsid w:val="0065543B"/>
    <w:rsid w:val="006579CF"/>
    <w:rsid w:val="00657AEE"/>
    <w:rsid w:val="00660AAE"/>
    <w:rsid w:val="00661B42"/>
    <w:rsid w:val="00665D7D"/>
    <w:rsid w:val="00666745"/>
    <w:rsid w:val="00667531"/>
    <w:rsid w:val="00667D3B"/>
    <w:rsid w:val="00674F6D"/>
    <w:rsid w:val="00676E3A"/>
    <w:rsid w:val="00677C52"/>
    <w:rsid w:val="00682884"/>
    <w:rsid w:val="006833CE"/>
    <w:rsid w:val="00683546"/>
    <w:rsid w:val="00683976"/>
    <w:rsid w:val="00685AA8"/>
    <w:rsid w:val="0069393F"/>
    <w:rsid w:val="006975E3"/>
    <w:rsid w:val="006A2452"/>
    <w:rsid w:val="006A5D16"/>
    <w:rsid w:val="006B75CF"/>
    <w:rsid w:val="006C158A"/>
    <w:rsid w:val="006D2936"/>
    <w:rsid w:val="006D3031"/>
    <w:rsid w:val="006D3990"/>
    <w:rsid w:val="006D4F9D"/>
    <w:rsid w:val="006E27CE"/>
    <w:rsid w:val="006E315A"/>
    <w:rsid w:val="006E45E4"/>
    <w:rsid w:val="006E5F56"/>
    <w:rsid w:val="006E6428"/>
    <w:rsid w:val="006E692A"/>
    <w:rsid w:val="006E6A64"/>
    <w:rsid w:val="006F2945"/>
    <w:rsid w:val="006F3DBD"/>
    <w:rsid w:val="006F4FED"/>
    <w:rsid w:val="006F55AA"/>
    <w:rsid w:val="006F68C8"/>
    <w:rsid w:val="00701367"/>
    <w:rsid w:val="00701B3C"/>
    <w:rsid w:val="00704EF5"/>
    <w:rsid w:val="007056A9"/>
    <w:rsid w:val="00706628"/>
    <w:rsid w:val="0071482A"/>
    <w:rsid w:val="00714DFF"/>
    <w:rsid w:val="00716288"/>
    <w:rsid w:val="00716410"/>
    <w:rsid w:val="00720735"/>
    <w:rsid w:val="00721283"/>
    <w:rsid w:val="00722370"/>
    <w:rsid w:val="00722AE5"/>
    <w:rsid w:val="00722BA8"/>
    <w:rsid w:val="00723CA6"/>
    <w:rsid w:val="00724CF7"/>
    <w:rsid w:val="007348CE"/>
    <w:rsid w:val="00735E53"/>
    <w:rsid w:val="00736ED4"/>
    <w:rsid w:val="007375EB"/>
    <w:rsid w:val="00740840"/>
    <w:rsid w:val="00740A67"/>
    <w:rsid w:val="00740F21"/>
    <w:rsid w:val="00742178"/>
    <w:rsid w:val="0075093C"/>
    <w:rsid w:val="007519A3"/>
    <w:rsid w:val="00757F4B"/>
    <w:rsid w:val="00764BCF"/>
    <w:rsid w:val="007673F8"/>
    <w:rsid w:val="0077360F"/>
    <w:rsid w:val="0077432B"/>
    <w:rsid w:val="00776552"/>
    <w:rsid w:val="007772AC"/>
    <w:rsid w:val="007777B2"/>
    <w:rsid w:val="00777F38"/>
    <w:rsid w:val="00783273"/>
    <w:rsid w:val="007910B4"/>
    <w:rsid w:val="0079386E"/>
    <w:rsid w:val="00794DA6"/>
    <w:rsid w:val="007950F2"/>
    <w:rsid w:val="007A1CD5"/>
    <w:rsid w:val="007A30A7"/>
    <w:rsid w:val="007A6925"/>
    <w:rsid w:val="007B23D5"/>
    <w:rsid w:val="007B2C34"/>
    <w:rsid w:val="007B2C77"/>
    <w:rsid w:val="007B416B"/>
    <w:rsid w:val="007B4D26"/>
    <w:rsid w:val="007B60B0"/>
    <w:rsid w:val="007C0F3E"/>
    <w:rsid w:val="007C2A26"/>
    <w:rsid w:val="007D0511"/>
    <w:rsid w:val="007D13A0"/>
    <w:rsid w:val="007D279F"/>
    <w:rsid w:val="007E0A0A"/>
    <w:rsid w:val="007E3B1C"/>
    <w:rsid w:val="007E7C36"/>
    <w:rsid w:val="007F1C1D"/>
    <w:rsid w:val="007F249E"/>
    <w:rsid w:val="007F310E"/>
    <w:rsid w:val="007F549E"/>
    <w:rsid w:val="007F54FB"/>
    <w:rsid w:val="007F6637"/>
    <w:rsid w:val="0081060F"/>
    <w:rsid w:val="0081381C"/>
    <w:rsid w:val="008153E3"/>
    <w:rsid w:val="00815A55"/>
    <w:rsid w:val="0081717B"/>
    <w:rsid w:val="008172E7"/>
    <w:rsid w:val="0081736A"/>
    <w:rsid w:val="00817A19"/>
    <w:rsid w:val="0082029E"/>
    <w:rsid w:val="00822FF8"/>
    <w:rsid w:val="00824B21"/>
    <w:rsid w:val="00827CCA"/>
    <w:rsid w:val="00832084"/>
    <w:rsid w:val="008326FF"/>
    <w:rsid w:val="0083329A"/>
    <w:rsid w:val="00835507"/>
    <w:rsid w:val="00835FF9"/>
    <w:rsid w:val="00844F6F"/>
    <w:rsid w:val="00846DCC"/>
    <w:rsid w:val="0085442D"/>
    <w:rsid w:val="00860C8C"/>
    <w:rsid w:val="008671D8"/>
    <w:rsid w:val="008677F3"/>
    <w:rsid w:val="00872425"/>
    <w:rsid w:val="00874663"/>
    <w:rsid w:val="008756C6"/>
    <w:rsid w:val="00875984"/>
    <w:rsid w:val="008764F1"/>
    <w:rsid w:val="00880BBC"/>
    <w:rsid w:val="00890C49"/>
    <w:rsid w:val="00897336"/>
    <w:rsid w:val="008A266A"/>
    <w:rsid w:val="008A5656"/>
    <w:rsid w:val="008A74FE"/>
    <w:rsid w:val="008B1CCB"/>
    <w:rsid w:val="008B40ED"/>
    <w:rsid w:val="008B4C3C"/>
    <w:rsid w:val="008C2F5C"/>
    <w:rsid w:val="008C5BEE"/>
    <w:rsid w:val="008C604B"/>
    <w:rsid w:val="008C6A94"/>
    <w:rsid w:val="008C6B0A"/>
    <w:rsid w:val="008D216D"/>
    <w:rsid w:val="008D3E01"/>
    <w:rsid w:val="008D3E3A"/>
    <w:rsid w:val="008D4ECD"/>
    <w:rsid w:val="008D54A8"/>
    <w:rsid w:val="008D6BF0"/>
    <w:rsid w:val="008D777E"/>
    <w:rsid w:val="008E127E"/>
    <w:rsid w:val="008E1A94"/>
    <w:rsid w:val="008E2BEF"/>
    <w:rsid w:val="008E2E8A"/>
    <w:rsid w:val="008E35BF"/>
    <w:rsid w:val="008E4E22"/>
    <w:rsid w:val="008F0AC2"/>
    <w:rsid w:val="008F29AA"/>
    <w:rsid w:val="008F40FA"/>
    <w:rsid w:val="00904A17"/>
    <w:rsid w:val="00905187"/>
    <w:rsid w:val="00911157"/>
    <w:rsid w:val="00916356"/>
    <w:rsid w:val="0091797B"/>
    <w:rsid w:val="00917DAE"/>
    <w:rsid w:val="00922E2A"/>
    <w:rsid w:val="009239B1"/>
    <w:rsid w:val="00926118"/>
    <w:rsid w:val="00930251"/>
    <w:rsid w:val="0093058E"/>
    <w:rsid w:val="00930EDE"/>
    <w:rsid w:val="009325C0"/>
    <w:rsid w:val="009459AC"/>
    <w:rsid w:val="00950048"/>
    <w:rsid w:val="00955C37"/>
    <w:rsid w:val="009569E5"/>
    <w:rsid w:val="00965B08"/>
    <w:rsid w:val="00966756"/>
    <w:rsid w:val="00967F2E"/>
    <w:rsid w:val="00971206"/>
    <w:rsid w:val="00976534"/>
    <w:rsid w:val="0098317E"/>
    <w:rsid w:val="00985361"/>
    <w:rsid w:val="00986239"/>
    <w:rsid w:val="00992EF3"/>
    <w:rsid w:val="00996181"/>
    <w:rsid w:val="00997EC8"/>
    <w:rsid w:val="009A147D"/>
    <w:rsid w:val="009A285D"/>
    <w:rsid w:val="009A74BC"/>
    <w:rsid w:val="009B2B58"/>
    <w:rsid w:val="009B30E4"/>
    <w:rsid w:val="009B31E4"/>
    <w:rsid w:val="009B392E"/>
    <w:rsid w:val="009B727D"/>
    <w:rsid w:val="009B77DF"/>
    <w:rsid w:val="009C135E"/>
    <w:rsid w:val="009C257D"/>
    <w:rsid w:val="009C50D6"/>
    <w:rsid w:val="009C6CCE"/>
    <w:rsid w:val="009C7DDA"/>
    <w:rsid w:val="009D4069"/>
    <w:rsid w:val="009D46BA"/>
    <w:rsid w:val="009D4C70"/>
    <w:rsid w:val="009D4FCC"/>
    <w:rsid w:val="009D6A0A"/>
    <w:rsid w:val="009D7AF1"/>
    <w:rsid w:val="009D7EAE"/>
    <w:rsid w:val="009E07E9"/>
    <w:rsid w:val="009E20BB"/>
    <w:rsid w:val="009E79A2"/>
    <w:rsid w:val="009F01A9"/>
    <w:rsid w:val="009F1D84"/>
    <w:rsid w:val="009F405A"/>
    <w:rsid w:val="009F753E"/>
    <w:rsid w:val="00A018CF"/>
    <w:rsid w:val="00A02BA2"/>
    <w:rsid w:val="00A15E79"/>
    <w:rsid w:val="00A17AB1"/>
    <w:rsid w:val="00A20B07"/>
    <w:rsid w:val="00A21CA9"/>
    <w:rsid w:val="00A2531D"/>
    <w:rsid w:val="00A26864"/>
    <w:rsid w:val="00A30847"/>
    <w:rsid w:val="00A30E7C"/>
    <w:rsid w:val="00A32B83"/>
    <w:rsid w:val="00A34F9A"/>
    <w:rsid w:val="00A35730"/>
    <w:rsid w:val="00A411D8"/>
    <w:rsid w:val="00A41207"/>
    <w:rsid w:val="00A41AEB"/>
    <w:rsid w:val="00A47461"/>
    <w:rsid w:val="00A51056"/>
    <w:rsid w:val="00A51456"/>
    <w:rsid w:val="00A528C5"/>
    <w:rsid w:val="00A5604D"/>
    <w:rsid w:val="00A6071E"/>
    <w:rsid w:val="00A62110"/>
    <w:rsid w:val="00A62C47"/>
    <w:rsid w:val="00A62EF6"/>
    <w:rsid w:val="00A6459D"/>
    <w:rsid w:val="00A73EDE"/>
    <w:rsid w:val="00A77BDD"/>
    <w:rsid w:val="00A81560"/>
    <w:rsid w:val="00A82214"/>
    <w:rsid w:val="00A83F38"/>
    <w:rsid w:val="00A850FC"/>
    <w:rsid w:val="00A90620"/>
    <w:rsid w:val="00A94E3B"/>
    <w:rsid w:val="00A9620B"/>
    <w:rsid w:val="00AA3861"/>
    <w:rsid w:val="00AA3B0B"/>
    <w:rsid w:val="00AA4165"/>
    <w:rsid w:val="00AA5A44"/>
    <w:rsid w:val="00AA6DCB"/>
    <w:rsid w:val="00AB404D"/>
    <w:rsid w:val="00AB7469"/>
    <w:rsid w:val="00AC019D"/>
    <w:rsid w:val="00AC19F9"/>
    <w:rsid w:val="00AC2221"/>
    <w:rsid w:val="00AC4011"/>
    <w:rsid w:val="00AC5EA3"/>
    <w:rsid w:val="00AC7AD1"/>
    <w:rsid w:val="00AD0E9F"/>
    <w:rsid w:val="00AD4DF7"/>
    <w:rsid w:val="00AD5C05"/>
    <w:rsid w:val="00AD5CA2"/>
    <w:rsid w:val="00AE1CC4"/>
    <w:rsid w:val="00AE207C"/>
    <w:rsid w:val="00AE6821"/>
    <w:rsid w:val="00AF29C3"/>
    <w:rsid w:val="00B00604"/>
    <w:rsid w:val="00B02C00"/>
    <w:rsid w:val="00B0320D"/>
    <w:rsid w:val="00B06999"/>
    <w:rsid w:val="00B06D43"/>
    <w:rsid w:val="00B1333E"/>
    <w:rsid w:val="00B15518"/>
    <w:rsid w:val="00B160C9"/>
    <w:rsid w:val="00B16BA5"/>
    <w:rsid w:val="00B205BB"/>
    <w:rsid w:val="00B22BA1"/>
    <w:rsid w:val="00B23B31"/>
    <w:rsid w:val="00B3001A"/>
    <w:rsid w:val="00B43407"/>
    <w:rsid w:val="00B448B1"/>
    <w:rsid w:val="00B5049F"/>
    <w:rsid w:val="00B50760"/>
    <w:rsid w:val="00B51527"/>
    <w:rsid w:val="00B5183B"/>
    <w:rsid w:val="00B51892"/>
    <w:rsid w:val="00B53865"/>
    <w:rsid w:val="00B65EE8"/>
    <w:rsid w:val="00B66779"/>
    <w:rsid w:val="00B66CDD"/>
    <w:rsid w:val="00B672B2"/>
    <w:rsid w:val="00B704F4"/>
    <w:rsid w:val="00B71520"/>
    <w:rsid w:val="00B72DEA"/>
    <w:rsid w:val="00B901CF"/>
    <w:rsid w:val="00B921A1"/>
    <w:rsid w:val="00B92C3C"/>
    <w:rsid w:val="00B93012"/>
    <w:rsid w:val="00B955D4"/>
    <w:rsid w:val="00B958B4"/>
    <w:rsid w:val="00BA4BAA"/>
    <w:rsid w:val="00BA4F1F"/>
    <w:rsid w:val="00BA6053"/>
    <w:rsid w:val="00BA6243"/>
    <w:rsid w:val="00BB0BA1"/>
    <w:rsid w:val="00BB2349"/>
    <w:rsid w:val="00BB2394"/>
    <w:rsid w:val="00BB2613"/>
    <w:rsid w:val="00BB6BE0"/>
    <w:rsid w:val="00BB7C26"/>
    <w:rsid w:val="00BC0563"/>
    <w:rsid w:val="00BC2B5D"/>
    <w:rsid w:val="00BC2EBF"/>
    <w:rsid w:val="00BC41AC"/>
    <w:rsid w:val="00BF276D"/>
    <w:rsid w:val="00BF32FE"/>
    <w:rsid w:val="00BF333E"/>
    <w:rsid w:val="00C00203"/>
    <w:rsid w:val="00C12F40"/>
    <w:rsid w:val="00C14371"/>
    <w:rsid w:val="00C145FC"/>
    <w:rsid w:val="00C17817"/>
    <w:rsid w:val="00C23537"/>
    <w:rsid w:val="00C24826"/>
    <w:rsid w:val="00C24DFB"/>
    <w:rsid w:val="00C260D2"/>
    <w:rsid w:val="00C26225"/>
    <w:rsid w:val="00C2688D"/>
    <w:rsid w:val="00C27113"/>
    <w:rsid w:val="00C36C8D"/>
    <w:rsid w:val="00C37AEE"/>
    <w:rsid w:val="00C4190F"/>
    <w:rsid w:val="00C448B3"/>
    <w:rsid w:val="00C45481"/>
    <w:rsid w:val="00C473C9"/>
    <w:rsid w:val="00C47F77"/>
    <w:rsid w:val="00C57B00"/>
    <w:rsid w:val="00C60E62"/>
    <w:rsid w:val="00C70AC7"/>
    <w:rsid w:val="00C7114A"/>
    <w:rsid w:val="00C71339"/>
    <w:rsid w:val="00C735DC"/>
    <w:rsid w:val="00C75CE0"/>
    <w:rsid w:val="00C76E6F"/>
    <w:rsid w:val="00C83321"/>
    <w:rsid w:val="00C84043"/>
    <w:rsid w:val="00C922AA"/>
    <w:rsid w:val="00C9272E"/>
    <w:rsid w:val="00CA141F"/>
    <w:rsid w:val="00CA234E"/>
    <w:rsid w:val="00CB00A7"/>
    <w:rsid w:val="00CB1846"/>
    <w:rsid w:val="00CB64BE"/>
    <w:rsid w:val="00CB73B2"/>
    <w:rsid w:val="00CB7CC2"/>
    <w:rsid w:val="00CC0EC6"/>
    <w:rsid w:val="00CC289D"/>
    <w:rsid w:val="00CC4935"/>
    <w:rsid w:val="00CC661C"/>
    <w:rsid w:val="00CC6C19"/>
    <w:rsid w:val="00CC781F"/>
    <w:rsid w:val="00CD2AA9"/>
    <w:rsid w:val="00CD5B02"/>
    <w:rsid w:val="00CD656E"/>
    <w:rsid w:val="00CD769E"/>
    <w:rsid w:val="00CE0F54"/>
    <w:rsid w:val="00CE16D9"/>
    <w:rsid w:val="00CE17AC"/>
    <w:rsid w:val="00CF1705"/>
    <w:rsid w:val="00CF1E45"/>
    <w:rsid w:val="00CF43AB"/>
    <w:rsid w:val="00D02279"/>
    <w:rsid w:val="00D02443"/>
    <w:rsid w:val="00D03008"/>
    <w:rsid w:val="00D04B62"/>
    <w:rsid w:val="00D05B44"/>
    <w:rsid w:val="00D10FED"/>
    <w:rsid w:val="00D1318B"/>
    <w:rsid w:val="00D1424A"/>
    <w:rsid w:val="00D14676"/>
    <w:rsid w:val="00D1590D"/>
    <w:rsid w:val="00D167EC"/>
    <w:rsid w:val="00D210D6"/>
    <w:rsid w:val="00D22B93"/>
    <w:rsid w:val="00D23FF5"/>
    <w:rsid w:val="00D245AE"/>
    <w:rsid w:val="00D25FBF"/>
    <w:rsid w:val="00D31B9B"/>
    <w:rsid w:val="00D32918"/>
    <w:rsid w:val="00D33EE2"/>
    <w:rsid w:val="00D344E6"/>
    <w:rsid w:val="00D346B8"/>
    <w:rsid w:val="00D35B34"/>
    <w:rsid w:val="00D3676D"/>
    <w:rsid w:val="00D36A27"/>
    <w:rsid w:val="00D40E69"/>
    <w:rsid w:val="00D412DF"/>
    <w:rsid w:val="00D419EB"/>
    <w:rsid w:val="00D44CC2"/>
    <w:rsid w:val="00D4623F"/>
    <w:rsid w:val="00D470D4"/>
    <w:rsid w:val="00D479A1"/>
    <w:rsid w:val="00D5183E"/>
    <w:rsid w:val="00D52C2F"/>
    <w:rsid w:val="00D56EB5"/>
    <w:rsid w:val="00D574C0"/>
    <w:rsid w:val="00D57636"/>
    <w:rsid w:val="00D579F4"/>
    <w:rsid w:val="00D62E9E"/>
    <w:rsid w:val="00D63A82"/>
    <w:rsid w:val="00D66889"/>
    <w:rsid w:val="00D679F3"/>
    <w:rsid w:val="00D71170"/>
    <w:rsid w:val="00D745BB"/>
    <w:rsid w:val="00D74C75"/>
    <w:rsid w:val="00D803A3"/>
    <w:rsid w:val="00D80B86"/>
    <w:rsid w:val="00D8287A"/>
    <w:rsid w:val="00D8721A"/>
    <w:rsid w:val="00D87500"/>
    <w:rsid w:val="00D9348B"/>
    <w:rsid w:val="00D94499"/>
    <w:rsid w:val="00D95B29"/>
    <w:rsid w:val="00DA0F3C"/>
    <w:rsid w:val="00DA35AF"/>
    <w:rsid w:val="00DA5702"/>
    <w:rsid w:val="00DA5B57"/>
    <w:rsid w:val="00DA695B"/>
    <w:rsid w:val="00DB231B"/>
    <w:rsid w:val="00DB6548"/>
    <w:rsid w:val="00DB77F2"/>
    <w:rsid w:val="00DB7885"/>
    <w:rsid w:val="00DC1874"/>
    <w:rsid w:val="00DC1D1F"/>
    <w:rsid w:val="00DC4D42"/>
    <w:rsid w:val="00DE31A3"/>
    <w:rsid w:val="00DE48DC"/>
    <w:rsid w:val="00DE6E48"/>
    <w:rsid w:val="00DF5D1A"/>
    <w:rsid w:val="00DF7E2B"/>
    <w:rsid w:val="00E00D09"/>
    <w:rsid w:val="00E01AC2"/>
    <w:rsid w:val="00E02691"/>
    <w:rsid w:val="00E07846"/>
    <w:rsid w:val="00E12288"/>
    <w:rsid w:val="00E1595B"/>
    <w:rsid w:val="00E2069B"/>
    <w:rsid w:val="00E22140"/>
    <w:rsid w:val="00E235CD"/>
    <w:rsid w:val="00E23988"/>
    <w:rsid w:val="00E2507E"/>
    <w:rsid w:val="00E2582C"/>
    <w:rsid w:val="00E31B12"/>
    <w:rsid w:val="00E34FB2"/>
    <w:rsid w:val="00E360CA"/>
    <w:rsid w:val="00E36916"/>
    <w:rsid w:val="00E4620E"/>
    <w:rsid w:val="00E50B5D"/>
    <w:rsid w:val="00E524F0"/>
    <w:rsid w:val="00E56FED"/>
    <w:rsid w:val="00E578A1"/>
    <w:rsid w:val="00E605EB"/>
    <w:rsid w:val="00E60ABD"/>
    <w:rsid w:val="00E62934"/>
    <w:rsid w:val="00E63285"/>
    <w:rsid w:val="00E64215"/>
    <w:rsid w:val="00E663A3"/>
    <w:rsid w:val="00E70D93"/>
    <w:rsid w:val="00E71908"/>
    <w:rsid w:val="00E71FCE"/>
    <w:rsid w:val="00E821DE"/>
    <w:rsid w:val="00E82DE9"/>
    <w:rsid w:val="00E84FCA"/>
    <w:rsid w:val="00E878CC"/>
    <w:rsid w:val="00E900F8"/>
    <w:rsid w:val="00E931C1"/>
    <w:rsid w:val="00E96A94"/>
    <w:rsid w:val="00EA0E9C"/>
    <w:rsid w:val="00EA1392"/>
    <w:rsid w:val="00EA1DBF"/>
    <w:rsid w:val="00EA3D74"/>
    <w:rsid w:val="00EA450E"/>
    <w:rsid w:val="00EA5768"/>
    <w:rsid w:val="00EA68CB"/>
    <w:rsid w:val="00EA6EFA"/>
    <w:rsid w:val="00EB1524"/>
    <w:rsid w:val="00EB3C05"/>
    <w:rsid w:val="00EB3C17"/>
    <w:rsid w:val="00EB45FF"/>
    <w:rsid w:val="00EB6E34"/>
    <w:rsid w:val="00EB6F50"/>
    <w:rsid w:val="00EB7080"/>
    <w:rsid w:val="00EB77BC"/>
    <w:rsid w:val="00EB7A79"/>
    <w:rsid w:val="00EC29E7"/>
    <w:rsid w:val="00EC2C2B"/>
    <w:rsid w:val="00EC3192"/>
    <w:rsid w:val="00EC4A7B"/>
    <w:rsid w:val="00EC5433"/>
    <w:rsid w:val="00EC5551"/>
    <w:rsid w:val="00EC6B74"/>
    <w:rsid w:val="00ED2490"/>
    <w:rsid w:val="00ED3A4B"/>
    <w:rsid w:val="00ED483C"/>
    <w:rsid w:val="00EE01DC"/>
    <w:rsid w:val="00EE443C"/>
    <w:rsid w:val="00EE4678"/>
    <w:rsid w:val="00EE4C35"/>
    <w:rsid w:val="00EE664A"/>
    <w:rsid w:val="00EF0405"/>
    <w:rsid w:val="00EF0B5B"/>
    <w:rsid w:val="00EF0F1A"/>
    <w:rsid w:val="00EF30E1"/>
    <w:rsid w:val="00EF3173"/>
    <w:rsid w:val="00EF4D33"/>
    <w:rsid w:val="00EF53B6"/>
    <w:rsid w:val="00EF5A05"/>
    <w:rsid w:val="00EF7FD0"/>
    <w:rsid w:val="00F035BD"/>
    <w:rsid w:val="00F07F89"/>
    <w:rsid w:val="00F07FE4"/>
    <w:rsid w:val="00F101AC"/>
    <w:rsid w:val="00F102D0"/>
    <w:rsid w:val="00F1034C"/>
    <w:rsid w:val="00F21D38"/>
    <w:rsid w:val="00F25E65"/>
    <w:rsid w:val="00F2692A"/>
    <w:rsid w:val="00F33F51"/>
    <w:rsid w:val="00F35903"/>
    <w:rsid w:val="00F419C7"/>
    <w:rsid w:val="00F50815"/>
    <w:rsid w:val="00F525A0"/>
    <w:rsid w:val="00F527D7"/>
    <w:rsid w:val="00F56569"/>
    <w:rsid w:val="00F63CBE"/>
    <w:rsid w:val="00F675CD"/>
    <w:rsid w:val="00F67C13"/>
    <w:rsid w:val="00F728A7"/>
    <w:rsid w:val="00F73493"/>
    <w:rsid w:val="00F77382"/>
    <w:rsid w:val="00F81E9F"/>
    <w:rsid w:val="00F839A7"/>
    <w:rsid w:val="00F87DE2"/>
    <w:rsid w:val="00F90913"/>
    <w:rsid w:val="00F90E97"/>
    <w:rsid w:val="00F93BDF"/>
    <w:rsid w:val="00F97489"/>
    <w:rsid w:val="00F97623"/>
    <w:rsid w:val="00FA0A93"/>
    <w:rsid w:val="00FA15B9"/>
    <w:rsid w:val="00FA5086"/>
    <w:rsid w:val="00FA5226"/>
    <w:rsid w:val="00FA5BBF"/>
    <w:rsid w:val="00FA60EF"/>
    <w:rsid w:val="00FB0E52"/>
    <w:rsid w:val="00FB484F"/>
    <w:rsid w:val="00FB5A01"/>
    <w:rsid w:val="00FB5B60"/>
    <w:rsid w:val="00FC182B"/>
    <w:rsid w:val="00FC3C1A"/>
    <w:rsid w:val="00FC63BB"/>
    <w:rsid w:val="00FD2145"/>
    <w:rsid w:val="00FD2E19"/>
    <w:rsid w:val="00FD305F"/>
    <w:rsid w:val="00FD3D89"/>
    <w:rsid w:val="00FD5B43"/>
    <w:rsid w:val="00FE3E22"/>
    <w:rsid w:val="00FE421C"/>
    <w:rsid w:val="00FF33B9"/>
    <w:rsid w:val="00FF354A"/>
    <w:rsid w:val="011D4355"/>
    <w:rsid w:val="01454801"/>
    <w:rsid w:val="01527242"/>
    <w:rsid w:val="01AC0F9C"/>
    <w:rsid w:val="01B43187"/>
    <w:rsid w:val="01E44E53"/>
    <w:rsid w:val="02007BB7"/>
    <w:rsid w:val="025C271E"/>
    <w:rsid w:val="02907B8B"/>
    <w:rsid w:val="02FC38B0"/>
    <w:rsid w:val="0306042C"/>
    <w:rsid w:val="031A4FA7"/>
    <w:rsid w:val="036A508B"/>
    <w:rsid w:val="03986EBF"/>
    <w:rsid w:val="040079F5"/>
    <w:rsid w:val="04337D9D"/>
    <w:rsid w:val="04400D69"/>
    <w:rsid w:val="04402605"/>
    <w:rsid w:val="04B270C1"/>
    <w:rsid w:val="04CF69F1"/>
    <w:rsid w:val="04FC61D7"/>
    <w:rsid w:val="055E6B00"/>
    <w:rsid w:val="05A81450"/>
    <w:rsid w:val="05AB50DB"/>
    <w:rsid w:val="05B86C07"/>
    <w:rsid w:val="05C4086E"/>
    <w:rsid w:val="05E7350D"/>
    <w:rsid w:val="066C4E50"/>
    <w:rsid w:val="06714501"/>
    <w:rsid w:val="067A0757"/>
    <w:rsid w:val="069E3FD5"/>
    <w:rsid w:val="06B60738"/>
    <w:rsid w:val="06E30C7F"/>
    <w:rsid w:val="06E73E8C"/>
    <w:rsid w:val="076072C9"/>
    <w:rsid w:val="07655D0B"/>
    <w:rsid w:val="07693F70"/>
    <w:rsid w:val="07751E23"/>
    <w:rsid w:val="077F17CC"/>
    <w:rsid w:val="078F7A7A"/>
    <w:rsid w:val="07A50719"/>
    <w:rsid w:val="07AF767B"/>
    <w:rsid w:val="07F20818"/>
    <w:rsid w:val="08026094"/>
    <w:rsid w:val="0830242A"/>
    <w:rsid w:val="08D70227"/>
    <w:rsid w:val="090E4140"/>
    <w:rsid w:val="0A2C4990"/>
    <w:rsid w:val="0A586145"/>
    <w:rsid w:val="0A7B3839"/>
    <w:rsid w:val="0ABE2DF2"/>
    <w:rsid w:val="0B1B1342"/>
    <w:rsid w:val="0B836EA8"/>
    <w:rsid w:val="0B8740C1"/>
    <w:rsid w:val="0B9C72DD"/>
    <w:rsid w:val="0BD107F3"/>
    <w:rsid w:val="0BE05499"/>
    <w:rsid w:val="0BF75D9F"/>
    <w:rsid w:val="0C052CF8"/>
    <w:rsid w:val="0C175030"/>
    <w:rsid w:val="0D03533B"/>
    <w:rsid w:val="0D1817B3"/>
    <w:rsid w:val="0D192E21"/>
    <w:rsid w:val="0D631E83"/>
    <w:rsid w:val="0D6F4328"/>
    <w:rsid w:val="0DB032E2"/>
    <w:rsid w:val="0E314C4D"/>
    <w:rsid w:val="0E35096D"/>
    <w:rsid w:val="0EB96E7D"/>
    <w:rsid w:val="0F331DEF"/>
    <w:rsid w:val="0F480936"/>
    <w:rsid w:val="0F576755"/>
    <w:rsid w:val="0F636803"/>
    <w:rsid w:val="0FAB04D5"/>
    <w:rsid w:val="0FDA152B"/>
    <w:rsid w:val="0FF024B1"/>
    <w:rsid w:val="10134CDE"/>
    <w:rsid w:val="10712928"/>
    <w:rsid w:val="10A81C60"/>
    <w:rsid w:val="10EA17D0"/>
    <w:rsid w:val="10ED1CE1"/>
    <w:rsid w:val="110509B7"/>
    <w:rsid w:val="11207A31"/>
    <w:rsid w:val="11505BF7"/>
    <w:rsid w:val="115A7505"/>
    <w:rsid w:val="11A24761"/>
    <w:rsid w:val="11D83B9D"/>
    <w:rsid w:val="121D4895"/>
    <w:rsid w:val="12313822"/>
    <w:rsid w:val="123B3068"/>
    <w:rsid w:val="123D3EC9"/>
    <w:rsid w:val="12870969"/>
    <w:rsid w:val="12962D75"/>
    <w:rsid w:val="12C6782B"/>
    <w:rsid w:val="1394083E"/>
    <w:rsid w:val="13A03433"/>
    <w:rsid w:val="14665D24"/>
    <w:rsid w:val="14725519"/>
    <w:rsid w:val="14740A1C"/>
    <w:rsid w:val="14871C3B"/>
    <w:rsid w:val="148E15C6"/>
    <w:rsid w:val="14AD18F5"/>
    <w:rsid w:val="14DC74C5"/>
    <w:rsid w:val="153A2191"/>
    <w:rsid w:val="156C6838"/>
    <w:rsid w:val="156E44B7"/>
    <w:rsid w:val="15E56D5D"/>
    <w:rsid w:val="170C2C84"/>
    <w:rsid w:val="172135A9"/>
    <w:rsid w:val="17D05FEB"/>
    <w:rsid w:val="1844295B"/>
    <w:rsid w:val="188D3433"/>
    <w:rsid w:val="189439DF"/>
    <w:rsid w:val="189C0DB1"/>
    <w:rsid w:val="19551BC8"/>
    <w:rsid w:val="19BE2108"/>
    <w:rsid w:val="19E3581C"/>
    <w:rsid w:val="19FC55B8"/>
    <w:rsid w:val="1A2849B5"/>
    <w:rsid w:val="1A38596D"/>
    <w:rsid w:val="1A3E66DC"/>
    <w:rsid w:val="1B1B0D1C"/>
    <w:rsid w:val="1B657081"/>
    <w:rsid w:val="1B8243CB"/>
    <w:rsid w:val="1C2361BA"/>
    <w:rsid w:val="1C55468D"/>
    <w:rsid w:val="1CF91C60"/>
    <w:rsid w:val="1D0C7F21"/>
    <w:rsid w:val="1D105904"/>
    <w:rsid w:val="1D312446"/>
    <w:rsid w:val="1DEA6919"/>
    <w:rsid w:val="1DED652F"/>
    <w:rsid w:val="1DFA2FFB"/>
    <w:rsid w:val="1E2B6BE7"/>
    <w:rsid w:val="1EA913DC"/>
    <w:rsid w:val="1F0F77F4"/>
    <w:rsid w:val="1F20041B"/>
    <w:rsid w:val="1FE6313B"/>
    <w:rsid w:val="206A1E72"/>
    <w:rsid w:val="209D4D0F"/>
    <w:rsid w:val="20B17FD5"/>
    <w:rsid w:val="20C44A3D"/>
    <w:rsid w:val="210E30BC"/>
    <w:rsid w:val="211132D8"/>
    <w:rsid w:val="2116671D"/>
    <w:rsid w:val="21740364"/>
    <w:rsid w:val="21BD1BA9"/>
    <w:rsid w:val="21E2721F"/>
    <w:rsid w:val="21FE5961"/>
    <w:rsid w:val="22185D50"/>
    <w:rsid w:val="22551E62"/>
    <w:rsid w:val="225536BD"/>
    <w:rsid w:val="2267795B"/>
    <w:rsid w:val="228B288F"/>
    <w:rsid w:val="22A9461F"/>
    <w:rsid w:val="22D90935"/>
    <w:rsid w:val="23097AAC"/>
    <w:rsid w:val="238B02A5"/>
    <w:rsid w:val="239C1CEF"/>
    <w:rsid w:val="243B4281"/>
    <w:rsid w:val="24427675"/>
    <w:rsid w:val="25570CD6"/>
    <w:rsid w:val="25FD7DDA"/>
    <w:rsid w:val="26480549"/>
    <w:rsid w:val="26927F5E"/>
    <w:rsid w:val="26930BA4"/>
    <w:rsid w:val="26EE00C4"/>
    <w:rsid w:val="275D25EF"/>
    <w:rsid w:val="27A05D26"/>
    <w:rsid w:val="27FD13F8"/>
    <w:rsid w:val="28083682"/>
    <w:rsid w:val="281F63FB"/>
    <w:rsid w:val="28567D02"/>
    <w:rsid w:val="28AE5F0B"/>
    <w:rsid w:val="28B24A94"/>
    <w:rsid w:val="28DC6898"/>
    <w:rsid w:val="28F819E0"/>
    <w:rsid w:val="295C4868"/>
    <w:rsid w:val="296C2904"/>
    <w:rsid w:val="29AF7DF8"/>
    <w:rsid w:val="29CA0B55"/>
    <w:rsid w:val="2A087074"/>
    <w:rsid w:val="2A8B3650"/>
    <w:rsid w:val="2A8D0BA8"/>
    <w:rsid w:val="2AA30E2A"/>
    <w:rsid w:val="2B8F1B40"/>
    <w:rsid w:val="2B9D14DD"/>
    <w:rsid w:val="2BAA609E"/>
    <w:rsid w:val="2C377149"/>
    <w:rsid w:val="2C3C088A"/>
    <w:rsid w:val="2C701063"/>
    <w:rsid w:val="2CF76386"/>
    <w:rsid w:val="2D60377E"/>
    <w:rsid w:val="2D8F684C"/>
    <w:rsid w:val="2D9E4577"/>
    <w:rsid w:val="2E444168"/>
    <w:rsid w:val="2E7D3F3E"/>
    <w:rsid w:val="2E9D6EF3"/>
    <w:rsid w:val="2F007E3C"/>
    <w:rsid w:val="2F307DD8"/>
    <w:rsid w:val="2F766021"/>
    <w:rsid w:val="2F876CAA"/>
    <w:rsid w:val="2F9B3A1E"/>
    <w:rsid w:val="2FE97CA6"/>
    <w:rsid w:val="30416714"/>
    <w:rsid w:val="30AC3D02"/>
    <w:rsid w:val="30EC3CCF"/>
    <w:rsid w:val="31E23503"/>
    <w:rsid w:val="32355624"/>
    <w:rsid w:val="32705150"/>
    <w:rsid w:val="3283636F"/>
    <w:rsid w:val="328E0E7D"/>
    <w:rsid w:val="32EA024E"/>
    <w:rsid w:val="330A349F"/>
    <w:rsid w:val="33655493"/>
    <w:rsid w:val="33947A55"/>
    <w:rsid w:val="33EF31E8"/>
    <w:rsid w:val="344D7206"/>
    <w:rsid w:val="346307A2"/>
    <w:rsid w:val="346F76D6"/>
    <w:rsid w:val="34734997"/>
    <w:rsid w:val="35071987"/>
    <w:rsid w:val="355A54F6"/>
    <w:rsid w:val="355F614C"/>
    <w:rsid w:val="357E6FD1"/>
    <w:rsid w:val="35A74E28"/>
    <w:rsid w:val="35AF77A0"/>
    <w:rsid w:val="35DB23D1"/>
    <w:rsid w:val="360D2255"/>
    <w:rsid w:val="361260C5"/>
    <w:rsid w:val="36C41867"/>
    <w:rsid w:val="36D44699"/>
    <w:rsid w:val="37031787"/>
    <w:rsid w:val="377C1D48"/>
    <w:rsid w:val="37AE2966"/>
    <w:rsid w:val="37EA1649"/>
    <w:rsid w:val="384719E3"/>
    <w:rsid w:val="384E6EF6"/>
    <w:rsid w:val="391E6687"/>
    <w:rsid w:val="394036B6"/>
    <w:rsid w:val="39491F32"/>
    <w:rsid w:val="397F2AAC"/>
    <w:rsid w:val="39E0264F"/>
    <w:rsid w:val="3A00295F"/>
    <w:rsid w:val="3A045242"/>
    <w:rsid w:val="3AE30907"/>
    <w:rsid w:val="3AF647D1"/>
    <w:rsid w:val="3B086AB1"/>
    <w:rsid w:val="3B225C8A"/>
    <w:rsid w:val="3BC67CD2"/>
    <w:rsid w:val="3BF9256D"/>
    <w:rsid w:val="3C290FB7"/>
    <w:rsid w:val="3C9C5C51"/>
    <w:rsid w:val="3CA96714"/>
    <w:rsid w:val="3CBA6A24"/>
    <w:rsid w:val="3CD274D1"/>
    <w:rsid w:val="3D155CCF"/>
    <w:rsid w:val="3D6E02CF"/>
    <w:rsid w:val="3D865874"/>
    <w:rsid w:val="3D9837B9"/>
    <w:rsid w:val="3DBA7FEB"/>
    <w:rsid w:val="3E3D581D"/>
    <w:rsid w:val="3EB14296"/>
    <w:rsid w:val="3ED457F0"/>
    <w:rsid w:val="3EF47A92"/>
    <w:rsid w:val="3F4127D6"/>
    <w:rsid w:val="3F467EA7"/>
    <w:rsid w:val="3F8D2FD4"/>
    <w:rsid w:val="3FAF0F8B"/>
    <w:rsid w:val="3FCE0A5F"/>
    <w:rsid w:val="40554D35"/>
    <w:rsid w:val="407E304E"/>
    <w:rsid w:val="40972E3F"/>
    <w:rsid w:val="40B939AE"/>
    <w:rsid w:val="40FE79F4"/>
    <w:rsid w:val="41303FF3"/>
    <w:rsid w:val="41494464"/>
    <w:rsid w:val="41835153"/>
    <w:rsid w:val="41C51792"/>
    <w:rsid w:val="41D07901"/>
    <w:rsid w:val="426339F7"/>
    <w:rsid w:val="42796AB3"/>
    <w:rsid w:val="42D77C69"/>
    <w:rsid w:val="43E235C7"/>
    <w:rsid w:val="444E13D6"/>
    <w:rsid w:val="447A169A"/>
    <w:rsid w:val="44806C0F"/>
    <w:rsid w:val="44906321"/>
    <w:rsid w:val="4498202B"/>
    <w:rsid w:val="44E34D4C"/>
    <w:rsid w:val="45960747"/>
    <w:rsid w:val="45A017D4"/>
    <w:rsid w:val="465251FF"/>
    <w:rsid w:val="469F5A1C"/>
    <w:rsid w:val="46A243E4"/>
    <w:rsid w:val="46E3355B"/>
    <w:rsid w:val="471F67F4"/>
    <w:rsid w:val="47720F0F"/>
    <w:rsid w:val="478C244E"/>
    <w:rsid w:val="47C55FCE"/>
    <w:rsid w:val="48454D59"/>
    <w:rsid w:val="4888168E"/>
    <w:rsid w:val="48A25E6A"/>
    <w:rsid w:val="48D850C1"/>
    <w:rsid w:val="492B4C8F"/>
    <w:rsid w:val="49816B99"/>
    <w:rsid w:val="498867BD"/>
    <w:rsid w:val="4ACC0DB8"/>
    <w:rsid w:val="4B5575AA"/>
    <w:rsid w:val="4B5B3163"/>
    <w:rsid w:val="4C8D1724"/>
    <w:rsid w:val="4D216E53"/>
    <w:rsid w:val="4D3B328B"/>
    <w:rsid w:val="4D427C05"/>
    <w:rsid w:val="4DB11467"/>
    <w:rsid w:val="4E191F10"/>
    <w:rsid w:val="4E52101C"/>
    <w:rsid w:val="4E994A6A"/>
    <w:rsid w:val="4EF40509"/>
    <w:rsid w:val="4EFA6DF1"/>
    <w:rsid w:val="4F3552F3"/>
    <w:rsid w:val="4F360182"/>
    <w:rsid w:val="4F413B0F"/>
    <w:rsid w:val="4FB27D57"/>
    <w:rsid w:val="4FB555A2"/>
    <w:rsid w:val="50A22C57"/>
    <w:rsid w:val="50AB045C"/>
    <w:rsid w:val="50CE19CD"/>
    <w:rsid w:val="50CE3ECE"/>
    <w:rsid w:val="50E336C1"/>
    <w:rsid w:val="513C6B5E"/>
    <w:rsid w:val="518C2F2C"/>
    <w:rsid w:val="51B80734"/>
    <w:rsid w:val="522030C9"/>
    <w:rsid w:val="527A319D"/>
    <w:rsid w:val="52B85D87"/>
    <w:rsid w:val="52E15928"/>
    <w:rsid w:val="53FD7EA6"/>
    <w:rsid w:val="54036AE1"/>
    <w:rsid w:val="543E548D"/>
    <w:rsid w:val="54C06697"/>
    <w:rsid w:val="54D4115B"/>
    <w:rsid w:val="551268DF"/>
    <w:rsid w:val="55497DEA"/>
    <w:rsid w:val="55746149"/>
    <w:rsid w:val="562A74F5"/>
    <w:rsid w:val="564D11E9"/>
    <w:rsid w:val="564D277C"/>
    <w:rsid w:val="578A30A4"/>
    <w:rsid w:val="57953A4B"/>
    <w:rsid w:val="57CC178E"/>
    <w:rsid w:val="58046550"/>
    <w:rsid w:val="58B4750C"/>
    <w:rsid w:val="58B54896"/>
    <w:rsid w:val="58D236C2"/>
    <w:rsid w:val="59060A06"/>
    <w:rsid w:val="59114FB0"/>
    <w:rsid w:val="5942577F"/>
    <w:rsid w:val="59996DEC"/>
    <w:rsid w:val="59CD7F72"/>
    <w:rsid w:val="5A120507"/>
    <w:rsid w:val="5A5D394D"/>
    <w:rsid w:val="5A724B0F"/>
    <w:rsid w:val="5AB30F40"/>
    <w:rsid w:val="5AD90D18"/>
    <w:rsid w:val="5B092532"/>
    <w:rsid w:val="5BF81DB8"/>
    <w:rsid w:val="5C0A7ECA"/>
    <w:rsid w:val="5C0D5346"/>
    <w:rsid w:val="5C27624F"/>
    <w:rsid w:val="5C767840"/>
    <w:rsid w:val="5CBC0529"/>
    <w:rsid w:val="5CDA6971"/>
    <w:rsid w:val="5D782734"/>
    <w:rsid w:val="5D9B732D"/>
    <w:rsid w:val="5DA94C72"/>
    <w:rsid w:val="5DB004C1"/>
    <w:rsid w:val="5E2942C4"/>
    <w:rsid w:val="5E7D76E4"/>
    <w:rsid w:val="5ECE1ACB"/>
    <w:rsid w:val="5EF21D8F"/>
    <w:rsid w:val="5F6C3865"/>
    <w:rsid w:val="601B502F"/>
    <w:rsid w:val="60A43271"/>
    <w:rsid w:val="61C240B7"/>
    <w:rsid w:val="61C34F67"/>
    <w:rsid w:val="61D57A10"/>
    <w:rsid w:val="61F66F47"/>
    <w:rsid w:val="623025A4"/>
    <w:rsid w:val="627A477C"/>
    <w:rsid w:val="63A150C0"/>
    <w:rsid w:val="63D251F4"/>
    <w:rsid w:val="64815650"/>
    <w:rsid w:val="64AF7CA6"/>
    <w:rsid w:val="64DF440C"/>
    <w:rsid w:val="652D7E86"/>
    <w:rsid w:val="65434061"/>
    <w:rsid w:val="657202BE"/>
    <w:rsid w:val="658E5BBC"/>
    <w:rsid w:val="663771AF"/>
    <w:rsid w:val="66A27570"/>
    <w:rsid w:val="66DB6465"/>
    <w:rsid w:val="675D7CA3"/>
    <w:rsid w:val="67B95729"/>
    <w:rsid w:val="67E30D1E"/>
    <w:rsid w:val="684C1B2A"/>
    <w:rsid w:val="689934CB"/>
    <w:rsid w:val="68A827B8"/>
    <w:rsid w:val="68F177AC"/>
    <w:rsid w:val="69270594"/>
    <w:rsid w:val="69450BD9"/>
    <w:rsid w:val="69881BA6"/>
    <w:rsid w:val="69B11277"/>
    <w:rsid w:val="6A336575"/>
    <w:rsid w:val="6A9103B7"/>
    <w:rsid w:val="6AFF5C1B"/>
    <w:rsid w:val="6B213BD1"/>
    <w:rsid w:val="6B37032E"/>
    <w:rsid w:val="6B3F3F40"/>
    <w:rsid w:val="6B5C74DB"/>
    <w:rsid w:val="6B6002BE"/>
    <w:rsid w:val="6B797F5B"/>
    <w:rsid w:val="6BAF6933"/>
    <w:rsid w:val="6BD61D70"/>
    <w:rsid w:val="6C3F2D24"/>
    <w:rsid w:val="6C6376EE"/>
    <w:rsid w:val="6C6E4192"/>
    <w:rsid w:val="6CA71DFE"/>
    <w:rsid w:val="6D5879D2"/>
    <w:rsid w:val="6D7256A0"/>
    <w:rsid w:val="6E164A8D"/>
    <w:rsid w:val="6E380D05"/>
    <w:rsid w:val="6E4945F5"/>
    <w:rsid w:val="6E686ECE"/>
    <w:rsid w:val="6E864A1F"/>
    <w:rsid w:val="6E9B5902"/>
    <w:rsid w:val="6ECD041D"/>
    <w:rsid w:val="6EEF5916"/>
    <w:rsid w:val="6F122FB4"/>
    <w:rsid w:val="6F7F056D"/>
    <w:rsid w:val="704613FD"/>
    <w:rsid w:val="708704FD"/>
    <w:rsid w:val="708B3BCB"/>
    <w:rsid w:val="7119038A"/>
    <w:rsid w:val="71346BD7"/>
    <w:rsid w:val="7164080C"/>
    <w:rsid w:val="71693855"/>
    <w:rsid w:val="71934309"/>
    <w:rsid w:val="71C20399"/>
    <w:rsid w:val="71DB2947"/>
    <w:rsid w:val="7243317C"/>
    <w:rsid w:val="72B552C9"/>
    <w:rsid w:val="72C53ED8"/>
    <w:rsid w:val="736B711A"/>
    <w:rsid w:val="73997733"/>
    <w:rsid w:val="73B95E9A"/>
    <w:rsid w:val="73EF387C"/>
    <w:rsid w:val="73F21B69"/>
    <w:rsid w:val="74533602"/>
    <w:rsid w:val="74686510"/>
    <w:rsid w:val="747016D0"/>
    <w:rsid w:val="747F7BD6"/>
    <w:rsid w:val="749F6996"/>
    <w:rsid w:val="74BB7047"/>
    <w:rsid w:val="74FE6C61"/>
    <w:rsid w:val="75DC225A"/>
    <w:rsid w:val="75E86D3B"/>
    <w:rsid w:val="760E25CC"/>
    <w:rsid w:val="76373012"/>
    <w:rsid w:val="76962DA9"/>
    <w:rsid w:val="772B2E92"/>
    <w:rsid w:val="776158EB"/>
    <w:rsid w:val="77CD5EFC"/>
    <w:rsid w:val="77E56FFF"/>
    <w:rsid w:val="7818293D"/>
    <w:rsid w:val="787F0CAA"/>
    <w:rsid w:val="78D80DA6"/>
    <w:rsid w:val="78F12D78"/>
    <w:rsid w:val="796B0222"/>
    <w:rsid w:val="799278B0"/>
    <w:rsid w:val="7A2B0F08"/>
    <w:rsid w:val="7A4F08E7"/>
    <w:rsid w:val="7A664A48"/>
    <w:rsid w:val="7B582F6D"/>
    <w:rsid w:val="7B7956A0"/>
    <w:rsid w:val="7B94204B"/>
    <w:rsid w:val="7C1F69DD"/>
    <w:rsid w:val="7CAC364E"/>
    <w:rsid w:val="7CB53C94"/>
    <w:rsid w:val="7D1876CA"/>
    <w:rsid w:val="7D255F8C"/>
    <w:rsid w:val="7D845AEE"/>
    <w:rsid w:val="7DFD02FD"/>
    <w:rsid w:val="7EBC1F79"/>
    <w:rsid w:val="7F9D34FA"/>
    <w:rsid w:val="7FAB3A34"/>
    <w:rsid w:val="7FAD34CB"/>
    <w:rsid w:val="7FF46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2"/>
    <w:qFormat/>
    <w:uiPriority w:val="0"/>
    <w:pPr>
      <w:keepNext/>
      <w:keepLines/>
      <w:numPr>
        <w:ilvl w:val="0"/>
        <w:numId w:val="1"/>
      </w:numPr>
      <w:spacing w:before="340" w:after="330" w:line="576" w:lineRule="auto"/>
      <w:jc w:val="center"/>
      <w:outlineLvl w:val="0"/>
    </w:pPr>
    <w:rPr>
      <w:rFonts w:eastAsia="黑体"/>
      <w:b/>
      <w:kern w:val="44"/>
      <w:sz w:val="36"/>
    </w:rPr>
  </w:style>
  <w:style w:type="paragraph" w:styleId="3">
    <w:name w:val="heading 2"/>
    <w:basedOn w:val="1"/>
    <w:next w:val="1"/>
    <w:link w:val="127"/>
    <w:qFormat/>
    <w:uiPriority w:val="0"/>
    <w:pPr>
      <w:keepNext/>
      <w:keepLines/>
      <w:numPr>
        <w:ilvl w:val="1"/>
        <w:numId w:val="1"/>
      </w:numPr>
      <w:spacing w:before="260" w:after="260" w:line="413" w:lineRule="auto"/>
      <w:jc w:val="center"/>
      <w:outlineLvl w:val="1"/>
    </w:pPr>
    <w:rPr>
      <w:rFonts w:ascii="CG Times" w:hAnsi="CG Times"/>
      <w:b/>
      <w:sz w:val="30"/>
    </w:rPr>
  </w:style>
  <w:style w:type="paragraph" w:styleId="4">
    <w:name w:val="heading 3"/>
    <w:basedOn w:val="1"/>
    <w:next w:val="1"/>
    <w:link w:val="91"/>
    <w:qFormat/>
    <w:uiPriority w:val="0"/>
    <w:pPr>
      <w:keepNext/>
      <w:keepLines/>
      <w:spacing w:before="260" w:after="260" w:line="413" w:lineRule="auto"/>
      <w:outlineLvl w:val="2"/>
    </w:pPr>
    <w:rPr>
      <w:b/>
      <w:sz w:val="32"/>
    </w:rPr>
  </w:style>
  <w:style w:type="paragraph" w:styleId="5">
    <w:name w:val="heading 4"/>
    <w:basedOn w:val="1"/>
    <w:next w:val="6"/>
    <w:link w:val="71"/>
    <w:qFormat/>
    <w:uiPriority w:val="0"/>
    <w:pPr>
      <w:keepNext/>
      <w:keepLines/>
      <w:tabs>
        <w:tab w:val="left" w:pos="425"/>
      </w:tabs>
      <w:spacing w:before="360" w:line="240" w:lineRule="exact"/>
      <w:ind w:left="425" w:hanging="425"/>
      <w:outlineLvl w:val="3"/>
    </w:pPr>
    <w:rPr>
      <w:rFonts w:ascii="宋体"/>
      <w:b/>
      <w:sz w:val="28"/>
    </w:rPr>
  </w:style>
  <w:style w:type="paragraph" w:styleId="7">
    <w:name w:val="heading 5"/>
    <w:basedOn w:val="1"/>
    <w:next w:val="6"/>
    <w:link w:val="73"/>
    <w:qFormat/>
    <w:uiPriority w:val="0"/>
    <w:pPr>
      <w:keepNext/>
      <w:keepLines/>
      <w:numPr>
        <w:ilvl w:val="4"/>
        <w:numId w:val="1"/>
      </w:numPr>
      <w:spacing w:before="280" w:after="290" w:line="372" w:lineRule="auto"/>
      <w:outlineLvl w:val="4"/>
    </w:pPr>
    <w:rPr>
      <w:b/>
      <w:sz w:val="28"/>
    </w:rPr>
  </w:style>
  <w:style w:type="paragraph" w:styleId="8">
    <w:name w:val="heading 6"/>
    <w:basedOn w:val="1"/>
    <w:next w:val="6"/>
    <w:link w:val="128"/>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6"/>
    <w:link w:val="129"/>
    <w:qFormat/>
    <w:uiPriority w:val="0"/>
    <w:pPr>
      <w:keepNext/>
      <w:keepLines/>
      <w:numPr>
        <w:ilvl w:val="6"/>
        <w:numId w:val="1"/>
      </w:numPr>
      <w:spacing w:before="240" w:after="64" w:line="317" w:lineRule="auto"/>
      <w:outlineLvl w:val="6"/>
    </w:pPr>
    <w:rPr>
      <w:b/>
      <w:sz w:val="24"/>
    </w:rPr>
  </w:style>
  <w:style w:type="paragraph" w:styleId="10">
    <w:name w:val="heading 8"/>
    <w:basedOn w:val="1"/>
    <w:next w:val="6"/>
    <w:link w:val="130"/>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6"/>
    <w:link w:val="131"/>
    <w:qFormat/>
    <w:uiPriority w:val="0"/>
    <w:pPr>
      <w:keepNext/>
      <w:keepLines/>
      <w:numPr>
        <w:ilvl w:val="8"/>
        <w:numId w:val="1"/>
      </w:numPr>
      <w:spacing w:before="240" w:after="64" w:line="317" w:lineRule="auto"/>
      <w:outlineLvl w:val="8"/>
    </w:pPr>
    <w:rPr>
      <w:rFonts w:ascii="Arial" w:hAnsi="Arial" w:eastAsia="黑体"/>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89"/>
    <w:qFormat/>
    <w:uiPriority w:val="0"/>
    <w:pPr>
      <w:ind w:firstLine="420"/>
    </w:pPr>
  </w:style>
  <w:style w:type="paragraph" w:styleId="12">
    <w:name w:val="List 3"/>
    <w:basedOn w:val="1"/>
    <w:qFormat/>
    <w:uiPriority w:val="0"/>
    <w:pPr>
      <w:ind w:left="100" w:leftChars="400" w:hanging="200" w:hangingChars="200"/>
    </w:pPr>
    <w:rPr>
      <w:szCs w:val="24"/>
    </w:rPr>
  </w:style>
  <w:style w:type="paragraph" w:styleId="13">
    <w:name w:val="toc 7"/>
    <w:basedOn w:val="1"/>
    <w:next w:val="1"/>
    <w:qFormat/>
    <w:uiPriority w:val="0"/>
    <w:pPr>
      <w:ind w:left="2520" w:leftChars="1200"/>
    </w:pPr>
  </w:style>
  <w:style w:type="paragraph" w:styleId="14">
    <w:name w:val="Note Heading"/>
    <w:basedOn w:val="1"/>
    <w:next w:val="1"/>
    <w:link w:val="246"/>
    <w:qFormat/>
    <w:uiPriority w:val="0"/>
    <w:pPr>
      <w:adjustRightInd w:val="0"/>
      <w:jc w:val="center"/>
      <w:textAlignment w:val="baseline"/>
    </w:pPr>
    <w:rPr>
      <w:rFonts w:ascii="宋体" w:hAnsi="宋体" w:eastAsia="Times New Roman"/>
      <w:kern w:val="0"/>
      <w:sz w:val="24"/>
      <w:szCs w:val="24"/>
    </w:rPr>
  </w:style>
  <w:style w:type="paragraph" w:styleId="15">
    <w:name w:val="List Bullet 4"/>
    <w:basedOn w:val="1"/>
    <w:qFormat/>
    <w:uiPriority w:val="0"/>
    <w:pPr>
      <w:tabs>
        <w:tab w:val="left" w:pos="420"/>
        <w:tab w:val="left" w:pos="1620"/>
      </w:tabs>
    </w:pPr>
    <w:rPr>
      <w:szCs w:val="24"/>
    </w:rPr>
  </w:style>
  <w:style w:type="paragraph" w:styleId="16">
    <w:name w:val="caption"/>
    <w:basedOn w:val="1"/>
    <w:next w:val="1"/>
    <w:qFormat/>
    <w:uiPriority w:val="0"/>
    <w:pPr>
      <w:spacing w:before="152" w:after="160"/>
    </w:pPr>
    <w:rPr>
      <w:rFonts w:ascii="Arial" w:hAnsi="Arial" w:eastAsia="黑体" w:cs="Arial"/>
      <w:kern w:val="0"/>
      <w:sz w:val="20"/>
    </w:rPr>
  </w:style>
  <w:style w:type="paragraph" w:styleId="17">
    <w:name w:val="Document Map"/>
    <w:basedOn w:val="1"/>
    <w:link w:val="144"/>
    <w:qFormat/>
    <w:uiPriority w:val="0"/>
    <w:pPr>
      <w:shd w:val="clear" w:color="auto" w:fill="000080"/>
    </w:pPr>
  </w:style>
  <w:style w:type="paragraph" w:styleId="18">
    <w:name w:val="annotation text"/>
    <w:basedOn w:val="1"/>
    <w:link w:val="238"/>
    <w:qFormat/>
    <w:uiPriority w:val="99"/>
    <w:pPr>
      <w:jc w:val="left"/>
    </w:pPr>
  </w:style>
  <w:style w:type="paragraph" w:styleId="19">
    <w:name w:val="Salutation"/>
    <w:basedOn w:val="1"/>
    <w:next w:val="1"/>
    <w:link w:val="79"/>
    <w:qFormat/>
    <w:uiPriority w:val="0"/>
    <w:pPr>
      <w:adjustRightInd w:val="0"/>
      <w:spacing w:line="312" w:lineRule="atLeast"/>
      <w:textAlignment w:val="baseline"/>
    </w:pPr>
    <w:rPr>
      <w:rFonts w:ascii="宋体"/>
      <w:kern w:val="0"/>
      <w:sz w:val="24"/>
    </w:rPr>
  </w:style>
  <w:style w:type="paragraph" w:styleId="20">
    <w:name w:val="Body Text 3"/>
    <w:basedOn w:val="1"/>
    <w:link w:val="233"/>
    <w:qFormat/>
    <w:uiPriority w:val="0"/>
    <w:pPr>
      <w:adjustRightInd w:val="0"/>
      <w:spacing w:line="720" w:lineRule="exact"/>
      <w:jc w:val="center"/>
      <w:textAlignment w:val="baseline"/>
    </w:pPr>
    <w:rPr>
      <w:rFonts w:ascii="黑体" w:eastAsia="黑体"/>
      <w:sz w:val="84"/>
    </w:rPr>
  </w:style>
  <w:style w:type="paragraph" w:styleId="21">
    <w:name w:val="Body Text"/>
    <w:basedOn w:val="1"/>
    <w:next w:val="22"/>
    <w:link w:val="244"/>
    <w:qFormat/>
    <w:uiPriority w:val="0"/>
    <w:pPr>
      <w:spacing w:after="120"/>
    </w:pPr>
  </w:style>
  <w:style w:type="paragraph" w:styleId="22">
    <w:name w:val="Body Text 2"/>
    <w:basedOn w:val="1"/>
    <w:next w:val="21"/>
    <w:link w:val="242"/>
    <w:qFormat/>
    <w:uiPriority w:val="0"/>
    <w:pPr>
      <w:adjustRightInd w:val="0"/>
      <w:snapToGrid w:val="0"/>
      <w:spacing w:line="360" w:lineRule="exact"/>
    </w:pPr>
    <w:rPr>
      <w:rFonts w:ascii="宋体" w:hAnsi="宋体"/>
      <w:color w:val="000000"/>
      <w:sz w:val="24"/>
      <w:szCs w:val="24"/>
    </w:rPr>
  </w:style>
  <w:style w:type="paragraph" w:styleId="23">
    <w:name w:val="Body Text Indent"/>
    <w:basedOn w:val="1"/>
    <w:next w:val="24"/>
    <w:link w:val="251"/>
    <w:qFormat/>
    <w:uiPriority w:val="0"/>
    <w:pPr>
      <w:spacing w:line="360" w:lineRule="auto"/>
      <w:ind w:firstLine="525"/>
    </w:pPr>
    <w:rPr>
      <w:rFonts w:ascii="宋体" w:hAnsi="宋体"/>
      <w:sz w:val="24"/>
    </w:rPr>
  </w:style>
  <w:style w:type="paragraph" w:styleId="24">
    <w:name w:val="Body Text First Indent 2"/>
    <w:basedOn w:val="23"/>
    <w:link w:val="252"/>
    <w:qFormat/>
    <w:uiPriority w:val="0"/>
    <w:pPr>
      <w:spacing w:after="120" w:line="240" w:lineRule="auto"/>
      <w:ind w:left="420" w:leftChars="200" w:firstLine="420" w:firstLineChars="200"/>
    </w:pPr>
    <w:rPr>
      <w:rFonts w:ascii="Times New Roman" w:hAnsi="Times New Roman"/>
      <w:sz w:val="21"/>
      <w:szCs w:val="24"/>
    </w:rPr>
  </w:style>
  <w:style w:type="paragraph" w:styleId="25">
    <w:name w:val="List 2"/>
    <w:basedOn w:val="1"/>
    <w:qFormat/>
    <w:uiPriority w:val="0"/>
    <w:pPr>
      <w:ind w:left="100" w:leftChars="200" w:hanging="200" w:hangingChars="200"/>
    </w:pPr>
    <w:rPr>
      <w:szCs w:val="24"/>
    </w:rPr>
  </w:style>
  <w:style w:type="paragraph" w:styleId="26">
    <w:name w:val="Block Text"/>
    <w:basedOn w:val="1"/>
    <w:qFormat/>
    <w:uiPriority w:val="0"/>
    <w:pPr>
      <w:ind w:left="392" w:leftChars="131" w:right="-34" w:rightChars="-16" w:hanging="117" w:hangingChars="65"/>
    </w:pPr>
    <w:rPr>
      <w:sz w:val="18"/>
      <w:szCs w:val="24"/>
    </w:rPr>
  </w:style>
  <w:style w:type="paragraph" w:styleId="27">
    <w:name w:val="List Bullet 2"/>
    <w:basedOn w:val="1"/>
    <w:qFormat/>
    <w:uiPriority w:val="0"/>
    <w:pPr>
      <w:tabs>
        <w:tab w:val="left" w:pos="780"/>
      </w:tabs>
      <w:adjustRightInd w:val="0"/>
      <w:spacing w:line="500" w:lineRule="exact"/>
      <w:ind w:firstLine="562" w:firstLineChars="200"/>
      <w:textAlignment w:val="baseline"/>
    </w:pPr>
    <w:rPr>
      <w:rFonts w:ascii="宋体" w:hAnsi="宋体"/>
      <w:b/>
      <w:sz w:val="28"/>
      <w:szCs w:val="28"/>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8"/>
    <w:qFormat/>
    <w:uiPriority w:val="0"/>
    <w:rPr>
      <w:rFonts w:ascii="宋体" w:hAnsi="Courier New"/>
    </w:rPr>
  </w:style>
  <w:style w:type="paragraph" w:styleId="31">
    <w:name w:val="toc 8"/>
    <w:basedOn w:val="1"/>
    <w:next w:val="1"/>
    <w:qFormat/>
    <w:uiPriority w:val="0"/>
    <w:pPr>
      <w:ind w:left="2940" w:leftChars="1400"/>
    </w:pPr>
  </w:style>
  <w:style w:type="paragraph" w:styleId="32">
    <w:name w:val="Date"/>
    <w:basedOn w:val="1"/>
    <w:next w:val="1"/>
    <w:link w:val="82"/>
    <w:qFormat/>
    <w:uiPriority w:val="0"/>
    <w:pPr>
      <w:ind w:left="100" w:leftChars="2500"/>
    </w:pPr>
    <w:rPr>
      <w:rFonts w:ascii="宋体" w:hAnsi="宋体"/>
      <w:sz w:val="24"/>
    </w:rPr>
  </w:style>
  <w:style w:type="paragraph" w:styleId="33">
    <w:name w:val="Body Text Indent 2"/>
    <w:basedOn w:val="1"/>
    <w:link w:val="193"/>
    <w:qFormat/>
    <w:uiPriority w:val="0"/>
    <w:pPr>
      <w:spacing w:line="360" w:lineRule="auto"/>
      <w:ind w:firstLine="480" w:firstLineChars="200"/>
      <w:jc w:val="left"/>
    </w:pPr>
    <w:rPr>
      <w:rFonts w:hAnsi="宋体"/>
      <w:sz w:val="24"/>
    </w:rPr>
  </w:style>
  <w:style w:type="paragraph" w:styleId="34">
    <w:name w:val="endnote text"/>
    <w:basedOn w:val="1"/>
    <w:link w:val="234"/>
    <w:qFormat/>
    <w:uiPriority w:val="0"/>
    <w:pPr>
      <w:snapToGrid w:val="0"/>
      <w:jc w:val="left"/>
    </w:pPr>
    <w:rPr>
      <w:szCs w:val="24"/>
    </w:rPr>
  </w:style>
  <w:style w:type="paragraph" w:styleId="35">
    <w:name w:val="Balloon Text"/>
    <w:basedOn w:val="1"/>
    <w:link w:val="200"/>
    <w:qFormat/>
    <w:uiPriority w:val="0"/>
    <w:rPr>
      <w:sz w:val="18"/>
    </w:rPr>
  </w:style>
  <w:style w:type="paragraph" w:styleId="36">
    <w:name w:val="footer"/>
    <w:basedOn w:val="1"/>
    <w:link w:val="188"/>
    <w:qFormat/>
    <w:uiPriority w:val="99"/>
    <w:pPr>
      <w:tabs>
        <w:tab w:val="center" w:pos="4153"/>
        <w:tab w:val="right" w:pos="8306"/>
      </w:tabs>
      <w:snapToGrid w:val="0"/>
      <w:jc w:val="left"/>
    </w:pPr>
    <w:rPr>
      <w:sz w:val="18"/>
    </w:rPr>
  </w:style>
  <w:style w:type="paragraph" w:styleId="37">
    <w:name w:val="header"/>
    <w:basedOn w:val="1"/>
    <w:link w:val="224"/>
    <w:qFormat/>
    <w:uiPriority w:val="99"/>
    <w:pPr>
      <w:pBdr>
        <w:bottom w:val="single" w:color="auto" w:sz="6" w:space="1"/>
      </w:pBdr>
      <w:tabs>
        <w:tab w:val="center" w:pos="4153"/>
        <w:tab w:val="right" w:pos="8306"/>
      </w:tabs>
      <w:snapToGrid w:val="0"/>
      <w:jc w:val="center"/>
    </w:pPr>
    <w:rPr>
      <w:sz w:val="18"/>
      <w:szCs w:val="18"/>
    </w:rPr>
  </w:style>
  <w:style w:type="paragraph" w:styleId="38">
    <w:name w:val="toc 1"/>
    <w:basedOn w:val="1"/>
    <w:next w:val="1"/>
    <w:qFormat/>
    <w:uiPriority w:val="39"/>
  </w:style>
  <w:style w:type="paragraph" w:styleId="39">
    <w:name w:val="toc 4"/>
    <w:basedOn w:val="1"/>
    <w:next w:val="1"/>
    <w:qFormat/>
    <w:uiPriority w:val="0"/>
    <w:pPr>
      <w:ind w:left="1260" w:leftChars="600"/>
    </w:pPr>
  </w:style>
  <w:style w:type="paragraph" w:styleId="40">
    <w:name w:val="Subtitle"/>
    <w:basedOn w:val="1"/>
    <w:link w:val="237"/>
    <w:qFormat/>
    <w:uiPriority w:val="0"/>
    <w:pPr>
      <w:keepNext/>
      <w:widowControl/>
      <w:suppressLineNumbers/>
      <w:suppressAutoHyphens/>
      <w:adjustRightInd w:val="0"/>
      <w:jc w:val="center"/>
      <w:textAlignment w:val="baseline"/>
    </w:pPr>
    <w:rPr>
      <w:rFonts w:ascii="宋体" w:hAnsi="Courier New"/>
      <w:szCs w:val="24"/>
    </w:rPr>
  </w:style>
  <w:style w:type="paragraph" w:styleId="41">
    <w:name w:val="toc 6"/>
    <w:basedOn w:val="1"/>
    <w:next w:val="1"/>
    <w:qFormat/>
    <w:uiPriority w:val="0"/>
    <w:pPr>
      <w:ind w:left="2100" w:leftChars="1000"/>
    </w:pPr>
  </w:style>
  <w:style w:type="paragraph" w:styleId="42">
    <w:name w:val="Body Text Indent 3"/>
    <w:basedOn w:val="1"/>
    <w:link w:val="250"/>
    <w:qFormat/>
    <w:uiPriority w:val="0"/>
    <w:pPr>
      <w:ind w:firstLine="560" w:firstLineChars="200"/>
    </w:pPr>
    <w:rPr>
      <w:rFonts w:ascii="Arial" w:hAnsi="Arial"/>
      <w:color w:val="000000"/>
      <w:sz w:val="28"/>
      <w:szCs w:val="24"/>
    </w:rPr>
  </w:style>
  <w:style w:type="paragraph" w:styleId="43">
    <w:name w:val="table of figures"/>
    <w:basedOn w:val="1"/>
    <w:next w:val="1"/>
    <w:qFormat/>
    <w:uiPriority w:val="0"/>
    <w:pPr>
      <w:tabs>
        <w:tab w:val="right" w:leader="dot" w:pos="8948"/>
      </w:tabs>
      <w:adjustRightInd w:val="0"/>
      <w:ind w:left="480" w:hanging="480"/>
      <w:textAlignment w:val="baseline"/>
    </w:pPr>
    <w:rPr>
      <w:kern w:val="0"/>
      <w:szCs w:val="21"/>
    </w:rPr>
  </w:style>
  <w:style w:type="paragraph" w:styleId="44">
    <w:name w:val="toc 2"/>
    <w:basedOn w:val="1"/>
    <w:next w:val="1"/>
    <w:qFormat/>
    <w:uiPriority w:val="39"/>
    <w:pPr>
      <w:ind w:left="420" w:leftChars="200"/>
    </w:pPr>
  </w:style>
  <w:style w:type="paragraph" w:styleId="45">
    <w:name w:val="toc 9"/>
    <w:basedOn w:val="1"/>
    <w:next w:val="1"/>
    <w:qFormat/>
    <w:uiPriority w:val="0"/>
    <w:pPr>
      <w:ind w:left="3360" w:leftChars="1600"/>
    </w:pPr>
  </w:style>
  <w:style w:type="paragraph" w:styleId="46">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4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49">
    <w:name w:val="index 1"/>
    <w:basedOn w:val="1"/>
    <w:next w:val="1"/>
    <w:qFormat/>
    <w:uiPriority w:val="0"/>
  </w:style>
  <w:style w:type="paragraph" w:styleId="50">
    <w:name w:val="Title"/>
    <w:basedOn w:val="1"/>
    <w:next w:val="1"/>
    <w:link w:val="253"/>
    <w:qFormat/>
    <w:uiPriority w:val="0"/>
    <w:pPr>
      <w:spacing w:before="240" w:after="60"/>
      <w:jc w:val="center"/>
      <w:outlineLvl w:val="0"/>
    </w:pPr>
    <w:rPr>
      <w:rFonts w:ascii="Cambria" w:hAnsi="Cambria"/>
      <w:b/>
      <w:bCs/>
      <w:sz w:val="32"/>
      <w:szCs w:val="32"/>
    </w:rPr>
  </w:style>
  <w:style w:type="paragraph" w:styleId="51">
    <w:name w:val="annotation subject"/>
    <w:basedOn w:val="18"/>
    <w:next w:val="18"/>
    <w:link w:val="213"/>
    <w:qFormat/>
    <w:uiPriority w:val="0"/>
    <w:rPr>
      <w:b/>
      <w:bCs/>
    </w:rPr>
  </w:style>
  <w:style w:type="paragraph" w:styleId="52">
    <w:name w:val="Body Text First Indent"/>
    <w:basedOn w:val="21"/>
    <w:next w:val="24"/>
    <w:link w:val="245"/>
    <w:qFormat/>
    <w:uiPriority w:val="0"/>
    <w:pPr>
      <w:ind w:firstLine="420" w:firstLineChars="100"/>
    </w:pPr>
    <w:rPr>
      <w:szCs w:val="24"/>
    </w:rPr>
  </w:style>
  <w:style w:type="table" w:styleId="54">
    <w:name w:val="Table Grid"/>
    <w:basedOn w:val="53"/>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basedOn w:val="55"/>
    <w:qFormat/>
    <w:uiPriority w:val="0"/>
    <w:rPr>
      <w:b/>
    </w:rPr>
  </w:style>
  <w:style w:type="character" w:styleId="57">
    <w:name w:val="endnote reference"/>
    <w:qFormat/>
    <w:uiPriority w:val="0"/>
    <w:rPr>
      <w:vertAlign w:val="superscript"/>
    </w:rPr>
  </w:style>
  <w:style w:type="character" w:styleId="58">
    <w:name w:val="page number"/>
    <w:basedOn w:val="55"/>
    <w:qFormat/>
    <w:uiPriority w:val="0"/>
  </w:style>
  <w:style w:type="character" w:styleId="59">
    <w:name w:val="FollowedHyperlink"/>
    <w:basedOn w:val="55"/>
    <w:qFormat/>
    <w:uiPriority w:val="0"/>
    <w:rPr>
      <w:rFonts w:hint="eastAsia" w:ascii="微软雅黑" w:hAnsi="微软雅黑" w:eastAsia="微软雅黑" w:cs="微软雅黑"/>
      <w:color w:val="02396F"/>
      <w:u w:val="single"/>
    </w:rPr>
  </w:style>
  <w:style w:type="character" w:styleId="60">
    <w:name w:val="Emphasis"/>
    <w:qFormat/>
    <w:uiPriority w:val="0"/>
    <w:rPr>
      <w:rFonts w:ascii="Arial Black" w:hAnsi="Arial Black" w:eastAsia="黑体"/>
      <w:b/>
      <w:spacing w:val="0"/>
      <w:sz w:val="21"/>
      <w:lang w:eastAsia="zh-CN"/>
    </w:rPr>
  </w:style>
  <w:style w:type="character" w:styleId="61">
    <w:name w:val="Hyperlink"/>
    <w:basedOn w:val="55"/>
    <w:qFormat/>
    <w:uiPriority w:val="99"/>
    <w:rPr>
      <w:rFonts w:ascii="微软雅黑" w:hAnsi="微软雅黑" w:eastAsia="微软雅黑" w:cs="微软雅黑"/>
      <w:color w:val="02396F"/>
      <w:u w:val="single"/>
    </w:rPr>
  </w:style>
  <w:style w:type="character" w:styleId="62">
    <w:name w:val="annotation reference"/>
    <w:basedOn w:val="55"/>
    <w:qFormat/>
    <w:uiPriority w:val="0"/>
    <w:rPr>
      <w:sz w:val="21"/>
      <w:szCs w:val="21"/>
    </w:rPr>
  </w:style>
  <w:style w:type="paragraph" w:customStyle="1" w:styleId="63">
    <w:name w:val="默认段落字体 Para Char Char Char Char Char Char Char"/>
    <w:basedOn w:val="17"/>
    <w:qFormat/>
    <w:uiPriority w:val="0"/>
    <w:pPr>
      <w:adjustRightInd w:val="0"/>
      <w:spacing w:line="436" w:lineRule="exact"/>
      <w:ind w:left="357"/>
      <w:jc w:val="left"/>
      <w:textAlignment w:val="baseline"/>
      <w:outlineLvl w:val="3"/>
    </w:pPr>
    <w:rPr>
      <w:rFonts w:eastAsia="Times New Roman"/>
      <w:kern w:val="0"/>
      <w:sz w:val="20"/>
    </w:rPr>
  </w:style>
  <w:style w:type="paragraph" w:customStyle="1" w:styleId="64">
    <w:name w:val="Char Char Char Char1"/>
    <w:basedOn w:val="17"/>
    <w:qFormat/>
    <w:uiPriority w:val="0"/>
    <w:pPr>
      <w:adjustRightInd w:val="0"/>
      <w:snapToGrid w:val="0"/>
      <w:spacing w:line="360" w:lineRule="auto"/>
    </w:pPr>
    <w:rPr>
      <w:rFonts w:ascii="Tahoma" w:hAnsi="Tahoma"/>
      <w:sz w:val="24"/>
    </w:rPr>
  </w:style>
  <w:style w:type="paragraph" w:customStyle="1" w:styleId="65">
    <w:name w:val="默认段落字体 Para Char Char Char Char Char Char Char Char Char Char"/>
    <w:basedOn w:val="1"/>
    <w:qFormat/>
    <w:uiPriority w:val="0"/>
    <w:pPr>
      <w:adjustRightInd w:val="0"/>
      <w:spacing w:line="360" w:lineRule="auto"/>
    </w:pPr>
    <w:rPr>
      <w:kern w:val="0"/>
      <w:sz w:val="24"/>
    </w:rPr>
  </w:style>
  <w:style w:type="paragraph" w:customStyle="1" w:styleId="66">
    <w:name w:val="Char Char Char Char"/>
    <w:basedOn w:val="1"/>
    <w:qFormat/>
    <w:uiPriority w:val="0"/>
    <w:rPr>
      <w:rFonts w:ascii="Tahoma" w:hAnsi="Tahoma"/>
      <w:sz w:val="24"/>
    </w:rPr>
  </w:style>
  <w:style w:type="paragraph" w:customStyle="1" w:styleId="67">
    <w:name w:val="Char21"/>
    <w:basedOn w:val="1"/>
    <w:qFormat/>
    <w:uiPriority w:val="0"/>
    <w:rPr>
      <w:rFonts w:ascii="Tahoma" w:hAnsi="Tahoma"/>
      <w:sz w:val="24"/>
    </w:rPr>
  </w:style>
  <w:style w:type="paragraph" w:customStyle="1" w:styleId="68">
    <w:name w:val="Char2"/>
    <w:basedOn w:val="1"/>
    <w:qFormat/>
    <w:uiPriority w:val="0"/>
    <w:rPr>
      <w:rFonts w:ascii="Tahoma" w:hAnsi="Tahoma"/>
      <w:sz w:val="24"/>
    </w:rPr>
  </w:style>
  <w:style w:type="paragraph" w:customStyle="1" w:styleId="69">
    <w:name w:val="首行缩进"/>
    <w:basedOn w:val="1"/>
    <w:link w:val="184"/>
    <w:qFormat/>
    <w:uiPriority w:val="0"/>
    <w:pPr>
      <w:spacing w:line="360" w:lineRule="auto"/>
      <w:ind w:firstLine="200" w:firstLineChars="200"/>
    </w:pPr>
    <w:rPr>
      <w:rFonts w:ascii="宋体" w:hAnsi="宋体"/>
    </w:rPr>
  </w:style>
  <w:style w:type="paragraph" w:customStyle="1" w:styleId="70">
    <w:name w:val="Char Char Char Char2"/>
    <w:basedOn w:val="1"/>
    <w:qFormat/>
    <w:uiPriority w:val="0"/>
    <w:rPr>
      <w:rFonts w:ascii="Tahoma" w:hAnsi="Tahoma"/>
      <w:sz w:val="24"/>
    </w:rPr>
  </w:style>
  <w:style w:type="character" w:customStyle="1" w:styleId="71">
    <w:name w:val="标题 4 字符"/>
    <w:basedOn w:val="55"/>
    <w:link w:val="5"/>
    <w:qFormat/>
    <w:uiPriority w:val="0"/>
    <w:rPr>
      <w:rFonts w:ascii="宋体"/>
      <w:b/>
      <w:kern w:val="2"/>
      <w:sz w:val="28"/>
    </w:rPr>
  </w:style>
  <w:style w:type="character" w:customStyle="1" w:styleId="72">
    <w:name w:val="标题 1 字符"/>
    <w:basedOn w:val="55"/>
    <w:link w:val="2"/>
    <w:qFormat/>
    <w:uiPriority w:val="0"/>
    <w:rPr>
      <w:rFonts w:eastAsia="黑体"/>
      <w:b/>
      <w:kern w:val="44"/>
      <w:sz w:val="36"/>
    </w:rPr>
  </w:style>
  <w:style w:type="character" w:customStyle="1" w:styleId="73">
    <w:name w:val="标题 5 字符"/>
    <w:basedOn w:val="55"/>
    <w:link w:val="7"/>
    <w:qFormat/>
    <w:uiPriority w:val="0"/>
    <w:rPr>
      <w:b/>
      <w:kern w:val="2"/>
      <w:sz w:val="28"/>
    </w:rPr>
  </w:style>
  <w:style w:type="paragraph" w:customStyle="1" w:styleId="74">
    <w:name w:val="标题5"/>
    <w:basedOn w:val="6"/>
    <w:next w:val="1"/>
    <w:qFormat/>
    <w:uiPriority w:val="0"/>
    <w:pPr>
      <w:keepNext/>
      <w:keepLines/>
      <w:spacing w:line="360" w:lineRule="auto"/>
      <w:ind w:hanging="420" w:firstLineChars="200"/>
      <w:outlineLvl w:val="4"/>
    </w:pPr>
    <w:rPr>
      <w:sz w:val="24"/>
      <w:szCs w:val="28"/>
    </w:rPr>
  </w:style>
  <w:style w:type="paragraph" w:customStyle="1" w:styleId="75">
    <w:name w:val="样式4"/>
    <w:basedOn w:val="7"/>
    <w:next w:val="1"/>
    <w:qFormat/>
    <w:uiPriority w:val="0"/>
    <w:pPr>
      <w:numPr>
        <w:ilvl w:val="0"/>
        <w:numId w:val="0"/>
      </w:numPr>
      <w:tabs>
        <w:tab w:val="left" w:pos="420"/>
        <w:tab w:val="left" w:pos="1130"/>
      </w:tabs>
      <w:spacing w:before="0" w:after="0" w:line="360" w:lineRule="auto"/>
      <w:ind w:left="420" w:hanging="420" w:firstLineChars="200"/>
    </w:pPr>
    <w:rPr>
      <w:rFonts w:ascii="宋体" w:hAnsi="宋体"/>
      <w:b w:val="0"/>
      <w:sz w:val="24"/>
      <w:szCs w:val="24"/>
    </w:rPr>
  </w:style>
  <w:style w:type="character" w:customStyle="1" w:styleId="76">
    <w:name w:val="Char Char1"/>
    <w:basedOn w:val="55"/>
    <w:qFormat/>
    <w:uiPriority w:val="0"/>
    <w:rPr>
      <w:rFonts w:ascii="宋体" w:hAnsi="Courier New" w:eastAsia="宋体"/>
      <w:kern w:val="2"/>
      <w:sz w:val="21"/>
      <w:lang w:val="en-US" w:eastAsia="zh-CN"/>
    </w:rPr>
  </w:style>
  <w:style w:type="character" w:customStyle="1" w:styleId="77">
    <w:name w:val="h141"/>
    <w:basedOn w:val="55"/>
    <w:qFormat/>
    <w:uiPriority w:val="0"/>
    <w:rPr>
      <w:color w:val="262626"/>
      <w:sz w:val="21"/>
    </w:rPr>
  </w:style>
  <w:style w:type="character" w:customStyle="1" w:styleId="78">
    <w:name w:val="纯文本 字符"/>
    <w:basedOn w:val="55"/>
    <w:link w:val="30"/>
    <w:qFormat/>
    <w:uiPriority w:val="0"/>
    <w:rPr>
      <w:rFonts w:ascii="宋体" w:hAnsi="Courier New" w:eastAsia="宋体"/>
      <w:kern w:val="2"/>
      <w:sz w:val="21"/>
      <w:lang w:val="en-US" w:eastAsia="zh-CN" w:bidi="ar-SA"/>
    </w:rPr>
  </w:style>
  <w:style w:type="character" w:customStyle="1" w:styleId="79">
    <w:name w:val="称呼 字符"/>
    <w:basedOn w:val="55"/>
    <w:link w:val="19"/>
    <w:qFormat/>
    <w:uiPriority w:val="0"/>
    <w:rPr>
      <w:rFonts w:ascii="宋体" w:eastAsia="宋体"/>
      <w:sz w:val="24"/>
      <w:lang w:val="en-US" w:eastAsia="zh-CN" w:bidi="ar-SA"/>
    </w:rPr>
  </w:style>
  <w:style w:type="character" w:customStyle="1" w:styleId="80">
    <w:name w:val="redfilefwwh"/>
    <w:basedOn w:val="55"/>
    <w:qFormat/>
    <w:uiPriority w:val="0"/>
    <w:rPr>
      <w:color w:val="BA2636"/>
      <w:sz w:val="18"/>
      <w:szCs w:val="18"/>
    </w:rPr>
  </w:style>
  <w:style w:type="character" w:customStyle="1" w:styleId="81">
    <w:name w:val="gjfg"/>
    <w:basedOn w:val="55"/>
    <w:qFormat/>
    <w:uiPriority w:val="0"/>
  </w:style>
  <w:style w:type="character" w:customStyle="1" w:styleId="82">
    <w:name w:val="日期 字符"/>
    <w:basedOn w:val="55"/>
    <w:link w:val="32"/>
    <w:qFormat/>
    <w:uiPriority w:val="0"/>
    <w:rPr>
      <w:rFonts w:ascii="宋体" w:hAnsi="宋体" w:eastAsia="宋体"/>
      <w:kern w:val="2"/>
      <w:sz w:val="24"/>
      <w:lang w:val="en-US" w:eastAsia="zh-CN" w:bidi="ar-SA"/>
    </w:rPr>
  </w:style>
  <w:style w:type="character" w:customStyle="1" w:styleId="83">
    <w:name w:val="特点 Char1"/>
    <w:basedOn w:val="55"/>
    <w:qFormat/>
    <w:uiPriority w:val="0"/>
    <w:rPr>
      <w:rFonts w:eastAsia="宋体"/>
      <w:kern w:val="2"/>
      <w:sz w:val="21"/>
      <w:szCs w:val="24"/>
      <w:lang w:val="en-US" w:eastAsia="zh-CN" w:bidi="ar-SA"/>
    </w:rPr>
  </w:style>
  <w:style w:type="character" w:customStyle="1" w:styleId="84">
    <w:name w:val="纯文本 Char Char1"/>
    <w:basedOn w:val="55"/>
    <w:qFormat/>
    <w:uiPriority w:val="0"/>
    <w:rPr>
      <w:rFonts w:ascii="宋体" w:hAnsi="Courier New" w:eastAsia="宋体"/>
      <w:kern w:val="2"/>
      <w:sz w:val="21"/>
      <w:lang w:val="en-US" w:eastAsia="zh-CN"/>
    </w:rPr>
  </w:style>
  <w:style w:type="character" w:customStyle="1" w:styleId="85">
    <w:name w:val="displayarti"/>
    <w:basedOn w:val="55"/>
    <w:qFormat/>
    <w:uiPriority w:val="0"/>
    <w:rPr>
      <w:color w:val="FFFFFF"/>
      <w:shd w:val="clear" w:color="auto" w:fill="A00000"/>
    </w:rPr>
  </w:style>
  <w:style w:type="character" w:customStyle="1" w:styleId="86">
    <w:name w:val="p121"/>
    <w:basedOn w:val="55"/>
    <w:qFormat/>
    <w:uiPriority w:val="0"/>
    <w:rPr>
      <w:rFonts w:hint="default" w:ascii="ˎ̥" w:hAnsi="ˎ̥"/>
      <w:sz w:val="18"/>
    </w:rPr>
  </w:style>
  <w:style w:type="character" w:customStyle="1" w:styleId="87">
    <w:name w:val="cfdate"/>
    <w:basedOn w:val="55"/>
    <w:qFormat/>
    <w:uiPriority w:val="0"/>
    <w:rPr>
      <w:color w:val="333333"/>
      <w:sz w:val="18"/>
      <w:szCs w:val="18"/>
    </w:rPr>
  </w:style>
  <w:style w:type="character" w:customStyle="1" w:styleId="88">
    <w:name w:val="qxdate"/>
    <w:basedOn w:val="55"/>
    <w:qFormat/>
    <w:uiPriority w:val="0"/>
    <w:rPr>
      <w:color w:val="333333"/>
      <w:sz w:val="18"/>
      <w:szCs w:val="18"/>
    </w:rPr>
  </w:style>
  <w:style w:type="character" w:customStyle="1" w:styleId="89">
    <w:name w:val="正文缩进 字符"/>
    <w:basedOn w:val="55"/>
    <w:link w:val="6"/>
    <w:qFormat/>
    <w:uiPriority w:val="0"/>
    <w:rPr>
      <w:rFonts w:eastAsia="宋体"/>
      <w:kern w:val="2"/>
      <w:sz w:val="21"/>
      <w:lang w:val="en-US" w:eastAsia="zh-CN" w:bidi="ar-SA"/>
    </w:rPr>
  </w:style>
  <w:style w:type="character" w:customStyle="1" w:styleId="90">
    <w:name w:val="redfilenumber"/>
    <w:basedOn w:val="55"/>
    <w:qFormat/>
    <w:uiPriority w:val="0"/>
    <w:rPr>
      <w:color w:val="BA2636"/>
      <w:sz w:val="18"/>
      <w:szCs w:val="18"/>
    </w:rPr>
  </w:style>
  <w:style w:type="character" w:customStyle="1" w:styleId="91">
    <w:name w:val="标题 3 字符"/>
    <w:basedOn w:val="55"/>
    <w:link w:val="4"/>
    <w:qFormat/>
    <w:uiPriority w:val="0"/>
    <w:rPr>
      <w:b/>
      <w:sz w:val="32"/>
    </w:rPr>
  </w:style>
  <w:style w:type="character" w:customStyle="1" w:styleId="92">
    <w:name w:val="普通文字 Char Char"/>
    <w:basedOn w:val="55"/>
    <w:qFormat/>
    <w:uiPriority w:val="0"/>
    <w:rPr>
      <w:rFonts w:ascii="宋体" w:hAnsi="Courier New" w:eastAsia="宋体"/>
      <w:kern w:val="2"/>
      <w:sz w:val="21"/>
      <w:lang w:val="en-US" w:eastAsia="zh-CN"/>
    </w:rPr>
  </w:style>
  <w:style w:type="paragraph" w:customStyle="1" w:styleId="93">
    <w:name w:val="纯文本_2"/>
    <w:basedOn w:val="94"/>
    <w:qFormat/>
    <w:uiPriority w:val="0"/>
    <w:rPr>
      <w:rFonts w:ascii="宋体" w:hAnsi="Courier New"/>
      <w:szCs w:val="20"/>
    </w:rPr>
  </w:style>
  <w:style w:type="paragraph" w:customStyle="1" w:styleId="94">
    <w:name w:val="正文_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 Char"/>
    <w:basedOn w:val="1"/>
    <w:qFormat/>
    <w:uiPriority w:val="0"/>
    <w:rPr>
      <w:rFonts w:ascii="Tahoma" w:hAnsi="Tahoma"/>
      <w:sz w:val="24"/>
    </w:rPr>
  </w:style>
  <w:style w:type="paragraph" w:customStyle="1" w:styleId="96">
    <w:name w:val="Char1 Char Char Char Char Char Char"/>
    <w:basedOn w:val="1"/>
    <w:qFormat/>
    <w:uiPriority w:val="0"/>
    <w:rPr>
      <w:rFonts w:ascii="Tahoma" w:hAnsi="Tahoma"/>
      <w:sz w:val="24"/>
    </w:rPr>
  </w:style>
  <w:style w:type="paragraph" w:customStyle="1" w:styleId="97">
    <w:name w:val="Char211"/>
    <w:basedOn w:val="1"/>
    <w:qFormat/>
    <w:uiPriority w:val="0"/>
    <w:rPr>
      <w:rFonts w:ascii="Tahoma" w:hAnsi="Tahoma"/>
      <w:sz w:val="24"/>
    </w:rPr>
  </w:style>
  <w:style w:type="paragraph" w:customStyle="1" w:styleId="98">
    <w:name w:val="p0"/>
    <w:basedOn w:val="1"/>
    <w:qFormat/>
    <w:uiPriority w:val="0"/>
    <w:pPr>
      <w:widowControl/>
    </w:pPr>
    <w:rPr>
      <w:kern w:val="0"/>
      <w:szCs w:val="21"/>
    </w:rPr>
  </w:style>
  <w:style w:type="paragraph" w:customStyle="1" w:styleId="99">
    <w:name w:val="Char Char Char Char Char Char Char"/>
    <w:basedOn w:val="1"/>
    <w:qFormat/>
    <w:uiPriority w:val="0"/>
    <w:rPr>
      <w:rFonts w:ascii="Tahoma" w:hAnsi="Tahoma"/>
      <w:sz w:val="24"/>
    </w:rPr>
  </w:style>
  <w:style w:type="paragraph" w:customStyle="1" w:styleId="100">
    <w:name w:val="样式3"/>
    <w:basedOn w:val="30"/>
    <w:qFormat/>
    <w:uiPriority w:val="0"/>
    <w:pPr>
      <w:spacing w:line="0" w:lineRule="atLeast"/>
      <w:outlineLvl w:val="0"/>
    </w:pPr>
    <w:rPr>
      <w:sz w:val="28"/>
    </w:rPr>
  </w:style>
  <w:style w:type="paragraph" w:customStyle="1" w:styleId="10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2">
    <w:name w:val="彩色列表 - 强调文字颜色 11"/>
    <w:basedOn w:val="1"/>
    <w:qFormat/>
    <w:uiPriority w:val="34"/>
    <w:pPr>
      <w:ind w:firstLine="420" w:firstLineChars="200"/>
    </w:pPr>
  </w:style>
  <w:style w:type="paragraph" w:customStyle="1" w:styleId="103">
    <w:name w:val="Char Char Char Char Char Char Char Char Char Char"/>
    <w:basedOn w:val="1"/>
    <w:qFormat/>
    <w:uiPriority w:val="0"/>
    <w:rPr>
      <w:rFonts w:ascii="Tahoma" w:hAnsi="Tahoma"/>
      <w:sz w:val="24"/>
    </w:rPr>
  </w:style>
  <w:style w:type="paragraph" w:customStyle="1" w:styleId="104">
    <w:name w:val="ptdl"/>
    <w:basedOn w:val="1"/>
    <w:qFormat/>
    <w:uiPriority w:val="0"/>
    <w:pPr>
      <w:spacing w:after="156"/>
      <w:ind w:firstLine="480"/>
    </w:pPr>
    <w:rPr>
      <w:sz w:val="24"/>
    </w:rPr>
  </w:style>
  <w:style w:type="paragraph" w:customStyle="1" w:styleId="105">
    <w:name w:val="Char Char Char Char11"/>
    <w:basedOn w:val="1"/>
    <w:qFormat/>
    <w:uiPriority w:val="0"/>
    <w:rPr>
      <w:rFonts w:ascii="Tahoma" w:hAnsi="Tahoma"/>
      <w:sz w:val="24"/>
    </w:rPr>
  </w:style>
  <w:style w:type="paragraph" w:customStyle="1" w:styleId="106">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107">
    <w:name w:val="Char"/>
    <w:basedOn w:val="1"/>
    <w:qFormat/>
    <w:uiPriority w:val="0"/>
    <w:pPr>
      <w:widowControl/>
      <w:spacing w:after="160" w:line="240" w:lineRule="exact"/>
      <w:jc w:val="left"/>
    </w:pPr>
    <w:rPr>
      <w:rFonts w:ascii="Verdana" w:hAnsi="Verdana"/>
      <w:kern w:val="0"/>
      <w:sz w:val="20"/>
      <w:lang w:eastAsia="en-US"/>
    </w:rPr>
  </w:style>
  <w:style w:type="paragraph" w:customStyle="1" w:styleId="108">
    <w:name w:val="样式1"/>
    <w:basedOn w:val="1"/>
    <w:qFormat/>
    <w:uiPriority w:val="0"/>
    <w:pPr>
      <w:spacing w:line="360" w:lineRule="auto"/>
      <w:jc w:val="center"/>
    </w:pPr>
    <w:rPr>
      <w:rFonts w:ascii="宋体" w:hAnsi="宋体"/>
      <w:b/>
      <w:sz w:val="32"/>
      <w:szCs w:val="30"/>
    </w:rPr>
  </w:style>
  <w:style w:type="paragraph" w:customStyle="1" w:styleId="109">
    <w:name w:val="正文_62_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0">
    <w:name w:val="Char1"/>
    <w:basedOn w:val="1"/>
    <w:qFormat/>
    <w:uiPriority w:val="0"/>
    <w:rPr>
      <w:rFonts w:ascii="Tahoma" w:hAnsi="Tahoma"/>
      <w:sz w:val="24"/>
    </w:rPr>
  </w:style>
  <w:style w:type="paragraph" w:customStyle="1" w:styleId="111">
    <w:name w:val="TOC 标题1"/>
    <w:basedOn w:val="2"/>
    <w:next w:val="1"/>
    <w:qFormat/>
    <w:uiPriority w:val="39"/>
    <w:pPr>
      <w:widowControl/>
      <w:numPr>
        <w:numId w:val="0"/>
      </w:numPr>
      <w:spacing w:before="480" w:after="0" w:line="276" w:lineRule="auto"/>
      <w:jc w:val="left"/>
      <w:outlineLvl w:val="9"/>
    </w:pPr>
    <w:rPr>
      <w:rFonts w:ascii="Cambria" w:hAnsi="Cambria" w:eastAsia="宋体"/>
      <w:bCs/>
      <w:color w:val="365F91"/>
      <w:kern w:val="0"/>
      <w:sz w:val="28"/>
      <w:szCs w:val="28"/>
    </w:rPr>
  </w:style>
  <w:style w:type="paragraph" w:customStyle="1" w:styleId="112">
    <w:name w:val="xl22"/>
    <w:basedOn w:val="1"/>
    <w:qFormat/>
    <w:uiPriority w:val="0"/>
    <w:pPr>
      <w:widowControl/>
      <w:spacing w:before="100" w:beforeAutospacing="1" w:after="100" w:afterAutospacing="1"/>
      <w:jc w:val="center"/>
    </w:pPr>
    <w:rPr>
      <w:rFonts w:ascii="宋体" w:hAnsi="宋体"/>
      <w:kern w:val="0"/>
      <w:sz w:val="24"/>
    </w:rPr>
  </w:style>
  <w:style w:type="paragraph" w:customStyle="1" w:styleId="113">
    <w:name w:val="Char32"/>
    <w:basedOn w:val="1"/>
    <w:qFormat/>
    <w:uiPriority w:val="0"/>
    <w:rPr>
      <w:rFonts w:ascii="Tahoma" w:hAnsi="Tahoma"/>
      <w:sz w:val="24"/>
    </w:rPr>
  </w:style>
  <w:style w:type="paragraph" w:customStyle="1" w:styleId="114">
    <w:name w:val="Document Label"/>
    <w:basedOn w:val="1"/>
    <w:qFormat/>
    <w:uiPriority w:val="0"/>
    <w:pPr>
      <w:keepNext/>
      <w:keepLines/>
      <w:widowControl/>
      <w:spacing w:before="400" w:after="120" w:line="240" w:lineRule="atLeast"/>
      <w:jc w:val="left"/>
    </w:pPr>
    <w:rPr>
      <w:rFonts w:ascii="Arial Black" w:hAnsi="Arial Black"/>
      <w:spacing w:val="-100"/>
      <w:kern w:val="28"/>
      <w:sz w:val="108"/>
    </w:rPr>
  </w:style>
  <w:style w:type="paragraph" w:customStyle="1" w:styleId="115">
    <w:name w:val="段落格式"/>
    <w:basedOn w:val="1"/>
    <w:qFormat/>
    <w:uiPriority w:val="0"/>
    <w:pPr>
      <w:wordWrap w:val="0"/>
      <w:spacing w:after="60" w:line="500" w:lineRule="exact"/>
      <w:ind w:firstLine="640" w:firstLineChars="200"/>
    </w:pPr>
    <w:rPr>
      <w:rFonts w:ascii="Calibri" w:hAnsi="Calibri" w:eastAsia="仿宋_GB2312"/>
      <w:sz w:val="32"/>
      <w:szCs w:val="32"/>
    </w:rPr>
  </w:style>
  <w:style w:type="paragraph" w:customStyle="1" w:styleId="116">
    <w:name w:val="正文_66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Fließtext"/>
    <w:basedOn w:val="1"/>
    <w:qFormat/>
    <w:uiPriority w:val="0"/>
    <w:pPr>
      <w:overflowPunct w:val="0"/>
      <w:autoSpaceDE w:val="0"/>
      <w:autoSpaceDN w:val="0"/>
      <w:adjustRightInd w:val="0"/>
      <w:textAlignment w:val="baseline"/>
    </w:pPr>
    <w:rPr>
      <w:kern w:val="28"/>
    </w:rPr>
  </w:style>
  <w:style w:type="paragraph" w:customStyle="1" w:styleId="118">
    <w:name w:val="Char1 Char Char Char Char Char Char11"/>
    <w:basedOn w:val="1"/>
    <w:qFormat/>
    <w:uiPriority w:val="0"/>
  </w:style>
  <w:style w:type="paragraph" w:customStyle="1" w:styleId="119">
    <w:name w:val="Normal1"/>
    <w:next w:val="1"/>
    <w:qFormat/>
    <w:uiPriority w:val="0"/>
    <w:pPr>
      <w:overflowPunct w:val="0"/>
      <w:autoSpaceDE w:val="0"/>
      <w:autoSpaceDN w:val="0"/>
      <w:adjustRightInd w:val="0"/>
      <w:textAlignment w:val="baseline"/>
    </w:pPr>
    <w:rPr>
      <w:rFonts w:ascii="Times" w:hAnsi="Times" w:eastAsia="宋体" w:cs="Times New Roman"/>
      <w:sz w:val="24"/>
      <w:lang w:val="fr-FR" w:eastAsia="zh-CN" w:bidi="ar-SA"/>
    </w:rPr>
  </w:style>
  <w:style w:type="paragraph" w:customStyle="1" w:styleId="120">
    <w:name w:val="标准"/>
    <w:basedOn w:val="1"/>
    <w:qFormat/>
    <w:uiPriority w:val="99"/>
    <w:pPr>
      <w:spacing w:line="360" w:lineRule="auto"/>
      <w:ind w:firstLine="200" w:firstLineChars="200"/>
    </w:pPr>
    <w:rPr>
      <w:rFonts w:cs="宋体"/>
    </w:rPr>
  </w:style>
  <w:style w:type="paragraph" w:styleId="121">
    <w:name w:val="List Paragraph"/>
    <w:basedOn w:val="1"/>
    <w:qFormat/>
    <w:uiPriority w:val="99"/>
    <w:pPr>
      <w:ind w:firstLine="420" w:firstLineChars="200"/>
    </w:pPr>
  </w:style>
  <w:style w:type="paragraph" w:customStyle="1" w:styleId="122">
    <w:name w:val="正文0"/>
    <w:basedOn w:val="1"/>
    <w:qFormat/>
    <w:uiPriority w:val="0"/>
    <w:pPr>
      <w:autoSpaceDE w:val="0"/>
      <w:autoSpaceDN w:val="0"/>
      <w:adjustRightInd w:val="0"/>
      <w:spacing w:before="240" w:after="60" w:line="360" w:lineRule="atLeast"/>
    </w:pPr>
    <w:rPr>
      <w:b/>
      <w:kern w:val="0"/>
      <w:sz w:val="24"/>
    </w:rPr>
  </w:style>
  <w:style w:type="paragraph" w:customStyle="1" w:styleId="123">
    <w:name w:val="标3"/>
    <w:basedOn w:val="1"/>
    <w:qFormat/>
    <w:uiPriority w:val="0"/>
    <w:pPr>
      <w:tabs>
        <w:tab w:val="left" w:pos="1965"/>
      </w:tabs>
      <w:adjustRightInd w:val="0"/>
      <w:snapToGrid w:val="0"/>
      <w:spacing w:before="50"/>
      <w:ind w:left="1965" w:hanging="420"/>
      <w:outlineLvl w:val="2"/>
    </w:pPr>
    <w:rPr>
      <w:rFonts w:ascii="Arial Narrow" w:hAnsi="Arial Narrow" w:eastAsia="仿宋_GB2312"/>
      <w:sz w:val="28"/>
    </w:rPr>
  </w:style>
  <w:style w:type="paragraph" w:customStyle="1" w:styleId="124">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25">
    <w:name w:val="Char Char Char Char Char Char Char Char Char Char11"/>
    <w:basedOn w:val="1"/>
    <w:qFormat/>
    <w:uiPriority w:val="0"/>
    <w:rPr>
      <w:rFonts w:ascii="Tahoma" w:hAnsi="Tahoma"/>
      <w:sz w:val="24"/>
    </w:rPr>
  </w:style>
  <w:style w:type="paragraph" w:customStyle="1" w:styleId="126">
    <w:name w:val="Char111"/>
    <w:basedOn w:val="1"/>
    <w:qFormat/>
    <w:uiPriority w:val="0"/>
    <w:rPr>
      <w:rFonts w:ascii="Tahoma" w:hAnsi="Tahoma"/>
      <w:sz w:val="24"/>
    </w:rPr>
  </w:style>
  <w:style w:type="character" w:customStyle="1" w:styleId="127">
    <w:name w:val="标题 2 字符"/>
    <w:basedOn w:val="55"/>
    <w:link w:val="3"/>
    <w:qFormat/>
    <w:uiPriority w:val="0"/>
    <w:rPr>
      <w:rFonts w:ascii="CG Times" w:hAnsi="CG Times"/>
      <w:b/>
      <w:kern w:val="2"/>
      <w:sz w:val="30"/>
    </w:rPr>
  </w:style>
  <w:style w:type="character" w:customStyle="1" w:styleId="128">
    <w:name w:val="标题 6 字符"/>
    <w:basedOn w:val="55"/>
    <w:link w:val="8"/>
    <w:qFormat/>
    <w:uiPriority w:val="0"/>
    <w:rPr>
      <w:rFonts w:ascii="Arial" w:hAnsi="Arial" w:eastAsia="黑体"/>
      <w:b/>
      <w:kern w:val="2"/>
    </w:rPr>
  </w:style>
  <w:style w:type="character" w:customStyle="1" w:styleId="129">
    <w:name w:val="标题 7 字符"/>
    <w:basedOn w:val="55"/>
    <w:link w:val="9"/>
    <w:qFormat/>
    <w:uiPriority w:val="0"/>
    <w:rPr>
      <w:b/>
      <w:kern w:val="2"/>
    </w:rPr>
  </w:style>
  <w:style w:type="character" w:customStyle="1" w:styleId="130">
    <w:name w:val="标题 8 字符"/>
    <w:basedOn w:val="55"/>
    <w:link w:val="10"/>
    <w:qFormat/>
    <w:uiPriority w:val="0"/>
    <w:rPr>
      <w:rFonts w:ascii="Arial" w:hAnsi="Arial" w:eastAsia="黑体"/>
      <w:kern w:val="2"/>
    </w:rPr>
  </w:style>
  <w:style w:type="character" w:customStyle="1" w:styleId="131">
    <w:name w:val="标题 9 字符"/>
    <w:basedOn w:val="55"/>
    <w:link w:val="11"/>
    <w:qFormat/>
    <w:uiPriority w:val="0"/>
    <w:rPr>
      <w:rFonts w:ascii="Arial" w:hAnsi="Arial" w:eastAsia="黑体"/>
      <w:kern w:val="2"/>
      <w:sz w:val="21"/>
    </w:rPr>
  </w:style>
  <w:style w:type="character" w:customStyle="1" w:styleId="132">
    <w:name w:val="paragraph1 Char Char"/>
    <w:link w:val="133"/>
    <w:qFormat/>
    <w:uiPriority w:val="0"/>
    <w:rPr>
      <w:rFonts w:ascii="Arial" w:hAnsi="Arial"/>
      <w:kern w:val="2"/>
      <w:sz w:val="21"/>
      <w:szCs w:val="24"/>
    </w:rPr>
  </w:style>
  <w:style w:type="paragraph" w:customStyle="1" w:styleId="133">
    <w:name w:val="paragraph1"/>
    <w:basedOn w:val="1"/>
    <w:link w:val="132"/>
    <w:qFormat/>
    <w:uiPriority w:val="0"/>
    <w:pPr>
      <w:spacing w:afterLines="30" w:line="360" w:lineRule="auto"/>
      <w:ind w:firstLine="480" w:firstLineChars="200"/>
    </w:pPr>
    <w:rPr>
      <w:rFonts w:ascii="Arial" w:hAnsi="Arial"/>
      <w:szCs w:val="24"/>
    </w:rPr>
  </w:style>
  <w:style w:type="character" w:customStyle="1" w:styleId="134">
    <w:name w:val="章 Char Char"/>
    <w:qFormat/>
    <w:uiPriority w:val="0"/>
    <w:rPr>
      <w:rFonts w:eastAsia="宋体"/>
      <w:b/>
      <w:bCs/>
      <w:kern w:val="44"/>
      <w:sz w:val="44"/>
      <w:szCs w:val="44"/>
      <w:lang w:val="en-US" w:eastAsia="zh-CN" w:bidi="ar-SA"/>
    </w:rPr>
  </w:style>
  <w:style w:type="character" w:customStyle="1" w:styleId="135">
    <w:name w:val="com-1"/>
    <w:basedOn w:val="55"/>
    <w:qFormat/>
    <w:uiPriority w:val="0"/>
  </w:style>
  <w:style w:type="character" w:customStyle="1" w:styleId="136">
    <w:name w:val="ourfont1"/>
    <w:qFormat/>
    <w:uiPriority w:val="0"/>
    <w:rPr>
      <w:sz w:val="18"/>
      <w:szCs w:val="18"/>
    </w:rPr>
  </w:style>
  <w:style w:type="character" w:customStyle="1" w:styleId="137">
    <w:name w:val="正文首行缩进 Char"/>
    <w:qFormat/>
    <w:uiPriority w:val="0"/>
    <w:rPr>
      <w:kern w:val="2"/>
      <w:sz w:val="21"/>
      <w:szCs w:val="24"/>
    </w:rPr>
  </w:style>
  <w:style w:type="character" w:customStyle="1" w:styleId="138">
    <w:name w:val="Table Text Char Char"/>
    <w:qFormat/>
    <w:uiPriority w:val="0"/>
    <w:rPr>
      <w:rFonts w:ascii="Arial" w:hAnsi="Arial"/>
      <w:sz w:val="18"/>
      <w:lang w:val="en-US" w:eastAsia="zh-CN" w:bidi="ar-SA"/>
    </w:rPr>
  </w:style>
  <w:style w:type="character" w:customStyle="1" w:styleId="139">
    <w:name w:val="样式 (西文) 宋体 小四 首行缩进:  2 字符1 Char Char"/>
    <w:qFormat/>
    <w:uiPriority w:val="0"/>
    <w:rPr>
      <w:rFonts w:ascii="宋体" w:hAnsi="宋体" w:eastAsia="宋体" w:cs="宋体"/>
      <w:kern w:val="2"/>
      <w:sz w:val="24"/>
      <w:lang w:val="en-US" w:eastAsia="zh-CN" w:bidi="ar-SA"/>
    </w:rPr>
  </w:style>
  <w:style w:type="character" w:customStyle="1" w:styleId="140">
    <w:name w:val="表格内容 Char Char"/>
    <w:link w:val="141"/>
    <w:qFormat/>
    <w:uiPriority w:val="0"/>
    <w:rPr>
      <w:rFonts w:ascii="宋体"/>
      <w:kern w:val="2"/>
      <w:sz w:val="24"/>
    </w:rPr>
  </w:style>
  <w:style w:type="paragraph" w:customStyle="1" w:styleId="141">
    <w:name w:val="表格内容"/>
    <w:basedOn w:val="1"/>
    <w:link w:val="140"/>
    <w:qFormat/>
    <w:uiPriority w:val="0"/>
    <w:pPr>
      <w:jc w:val="center"/>
    </w:pPr>
    <w:rPr>
      <w:rFonts w:ascii="宋体"/>
      <w:sz w:val="24"/>
    </w:rPr>
  </w:style>
  <w:style w:type="character" w:customStyle="1" w:styleId="142">
    <w:name w:val="样式91"/>
    <w:qFormat/>
    <w:uiPriority w:val="0"/>
    <w:rPr>
      <w:rFonts w:eastAsia="宋体"/>
      <w:kern w:val="2"/>
      <w:sz w:val="14"/>
      <w:szCs w:val="14"/>
      <w:lang w:val="en-US" w:eastAsia="zh-CN" w:bidi="ar-SA"/>
    </w:rPr>
  </w:style>
  <w:style w:type="character" w:customStyle="1" w:styleId="143">
    <w:name w:val="Char Char11"/>
    <w:qFormat/>
    <w:uiPriority w:val="0"/>
    <w:rPr>
      <w:rFonts w:ascii="Arial" w:hAnsi="Arial" w:eastAsia="黑体"/>
      <w:b/>
      <w:bCs/>
      <w:kern w:val="2"/>
      <w:sz w:val="28"/>
      <w:szCs w:val="28"/>
      <w:lang w:val="en-US" w:eastAsia="zh-CN" w:bidi="ar-SA"/>
    </w:rPr>
  </w:style>
  <w:style w:type="character" w:customStyle="1" w:styleId="144">
    <w:name w:val="文档结构图 字符"/>
    <w:link w:val="17"/>
    <w:qFormat/>
    <w:uiPriority w:val="0"/>
    <w:rPr>
      <w:kern w:val="2"/>
      <w:sz w:val="21"/>
      <w:shd w:val="clear" w:color="auto" w:fill="000080"/>
    </w:rPr>
  </w:style>
  <w:style w:type="character" w:customStyle="1" w:styleId="145">
    <w:name w:val="样式 样式 小四 行距: 1.5 倍行距 首行缩进:  2 字符 + +中文正文 Char Char"/>
    <w:link w:val="146"/>
    <w:qFormat/>
    <w:locked/>
    <w:uiPriority w:val="0"/>
    <w:rPr>
      <w:rFonts w:ascii="宋体"/>
      <w:kern w:val="2"/>
      <w:sz w:val="24"/>
    </w:rPr>
  </w:style>
  <w:style w:type="paragraph" w:customStyle="1" w:styleId="146">
    <w:name w:val="样式 样式 小四 行距: 1.5 倍行距 首行缩进:  2 字符 + +中文正文"/>
    <w:basedOn w:val="1"/>
    <w:link w:val="145"/>
    <w:qFormat/>
    <w:uiPriority w:val="0"/>
    <w:pPr>
      <w:spacing w:line="360" w:lineRule="auto"/>
      <w:ind w:firstLine="480" w:firstLineChars="200"/>
    </w:pPr>
    <w:rPr>
      <w:rFonts w:ascii="宋体"/>
      <w:sz w:val="24"/>
    </w:rPr>
  </w:style>
  <w:style w:type="character" w:customStyle="1" w:styleId="147">
    <w:name w:val="批注文字 Char"/>
    <w:qFormat/>
    <w:uiPriority w:val="0"/>
    <w:rPr>
      <w:rFonts w:eastAsia="宋体"/>
      <w:kern w:val="2"/>
      <w:sz w:val="21"/>
      <w:lang w:val="en-US" w:eastAsia="zh-CN" w:bidi="ar-SA"/>
    </w:rPr>
  </w:style>
  <w:style w:type="character" w:customStyle="1" w:styleId="148">
    <w:name w:val="正文文本 Char"/>
    <w:qFormat/>
    <w:uiPriority w:val="0"/>
    <w:rPr>
      <w:kern w:val="2"/>
      <w:sz w:val="24"/>
    </w:rPr>
  </w:style>
  <w:style w:type="character" w:customStyle="1" w:styleId="149">
    <w:name w:val="a1"/>
    <w:qFormat/>
    <w:uiPriority w:val="0"/>
    <w:rPr>
      <w:rFonts w:eastAsia="宋体"/>
      <w:kern w:val="2"/>
      <w:sz w:val="24"/>
      <w:szCs w:val="24"/>
      <w:u w:val="none"/>
      <w:lang w:val="en-US" w:eastAsia="zh-CN" w:bidi="ar-SA"/>
    </w:rPr>
  </w:style>
  <w:style w:type="character" w:customStyle="1" w:styleId="150">
    <w:name w:val="样式 (西文) 宋体 小四 首行缩进:  2 字符1 Char Char Char Char Char2"/>
    <w:qFormat/>
    <w:uiPriority w:val="0"/>
    <w:rPr>
      <w:rFonts w:ascii="宋体" w:hAnsi="宋体" w:eastAsia="宋体" w:cs="宋体"/>
      <w:kern w:val="2"/>
      <w:sz w:val="24"/>
      <w:szCs w:val="24"/>
      <w:lang w:val="en-US" w:eastAsia="zh-CN" w:bidi="ar-SA"/>
    </w:rPr>
  </w:style>
  <w:style w:type="character" w:customStyle="1" w:styleId="151">
    <w:name w:val="样式31"/>
    <w:qFormat/>
    <w:uiPriority w:val="0"/>
    <w:rPr>
      <w:rFonts w:eastAsia="宋体"/>
      <w:color w:val="FFFFFF"/>
      <w:kern w:val="2"/>
      <w:sz w:val="24"/>
      <w:szCs w:val="24"/>
      <w:lang w:val="en-US" w:eastAsia="zh-CN" w:bidi="ar-SA"/>
    </w:rPr>
  </w:style>
  <w:style w:type="character" w:customStyle="1" w:styleId="152">
    <w:name w:val="分类格式 Char Char"/>
    <w:link w:val="153"/>
    <w:qFormat/>
    <w:uiPriority w:val="0"/>
    <w:rPr>
      <w:rFonts w:ascii="宋体" w:hAnsi="宋体"/>
      <w:kern w:val="2"/>
      <w:sz w:val="24"/>
    </w:rPr>
  </w:style>
  <w:style w:type="paragraph" w:customStyle="1" w:styleId="153">
    <w:name w:val="分类格式"/>
    <w:basedOn w:val="1"/>
    <w:link w:val="152"/>
    <w:qFormat/>
    <w:uiPriority w:val="0"/>
    <w:pPr>
      <w:tabs>
        <w:tab w:val="left" w:pos="170"/>
      </w:tabs>
      <w:spacing w:line="360" w:lineRule="auto"/>
      <w:ind w:left="200" w:leftChars="100" w:hanging="100" w:hangingChars="100"/>
    </w:pPr>
    <w:rPr>
      <w:rFonts w:ascii="宋体" w:hAnsi="宋体"/>
      <w:sz w:val="24"/>
    </w:rPr>
  </w:style>
  <w:style w:type="character" w:customStyle="1" w:styleId="154">
    <w:name w:val="Char Char51"/>
    <w:qFormat/>
    <w:uiPriority w:val="0"/>
    <w:rPr>
      <w:rFonts w:ascii="宋体" w:hAnsi="宋体" w:eastAsia="宋体"/>
      <w:b/>
      <w:kern w:val="2"/>
      <w:sz w:val="24"/>
      <w:szCs w:val="24"/>
      <w:lang w:val="en-US" w:eastAsia="zh-CN" w:bidi="ar-SA"/>
    </w:rPr>
  </w:style>
  <w:style w:type="character" w:customStyle="1" w:styleId="155">
    <w:name w:val="header odd Char"/>
    <w:qFormat/>
    <w:locked/>
    <w:uiPriority w:val="0"/>
    <w:rPr>
      <w:rFonts w:eastAsia="宋体"/>
      <w:kern w:val="2"/>
      <w:sz w:val="18"/>
      <w:lang w:val="en-US" w:eastAsia="zh-CN" w:bidi="ar-SA"/>
    </w:rPr>
  </w:style>
  <w:style w:type="character" w:customStyle="1" w:styleId="156">
    <w:name w:val="正文格式 Char"/>
    <w:qFormat/>
    <w:uiPriority w:val="0"/>
    <w:rPr>
      <w:rFonts w:ascii="Times New Roman" w:hAnsi="Times New Roman" w:eastAsia="宋体" w:cs="Times New Roman"/>
      <w:kern w:val="2"/>
      <w:sz w:val="24"/>
      <w:szCs w:val="24"/>
      <w:lang w:val="en-US" w:eastAsia="zh-CN" w:bidi="ar-SA"/>
    </w:rPr>
  </w:style>
  <w:style w:type="character" w:customStyle="1" w:styleId="157">
    <w:name w:val="样式 (西文) 宋体 小四 首行缩进:  2 字符1 Char1"/>
    <w:qFormat/>
    <w:uiPriority w:val="0"/>
    <w:rPr>
      <w:rFonts w:ascii="宋体" w:hAnsi="宋体" w:eastAsia="宋体" w:cs="宋体"/>
      <w:kern w:val="2"/>
      <w:sz w:val="24"/>
      <w:lang w:val="en-US" w:eastAsia="zh-CN" w:bidi="ar-SA"/>
    </w:rPr>
  </w:style>
  <w:style w:type="character" w:customStyle="1" w:styleId="158">
    <w:name w:val="font-121"/>
    <w:qFormat/>
    <w:uiPriority w:val="0"/>
    <w:rPr>
      <w:rFonts w:eastAsia="宋体"/>
      <w:color w:val="666666"/>
      <w:kern w:val="2"/>
      <w:sz w:val="18"/>
      <w:szCs w:val="24"/>
      <w:u w:val="none"/>
      <w:lang w:val="en-US" w:eastAsia="zh-CN" w:bidi="ar-SA"/>
    </w:rPr>
  </w:style>
  <w:style w:type="character" w:customStyle="1" w:styleId="159">
    <w:name w:val="段落 Char Char"/>
    <w:link w:val="160"/>
    <w:qFormat/>
    <w:uiPriority w:val="0"/>
    <w:rPr>
      <w:rFonts w:eastAsia="仿宋_GB2312"/>
      <w:kern w:val="2"/>
      <w:sz w:val="24"/>
      <w:lang w:val="en-US" w:eastAsia="zh-CN" w:bidi="ar-SA"/>
    </w:rPr>
  </w:style>
  <w:style w:type="paragraph" w:customStyle="1" w:styleId="160">
    <w:name w:val="段落"/>
    <w:link w:val="159"/>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lang w:val="en-US" w:eastAsia="zh-CN" w:bidi="ar-SA"/>
    </w:rPr>
  </w:style>
  <w:style w:type="character" w:customStyle="1" w:styleId="161">
    <w:name w:val="Char Char Char Char Char Char Char Char Char"/>
    <w:qFormat/>
    <w:uiPriority w:val="0"/>
    <w:rPr>
      <w:rFonts w:ascii="宋体" w:hAnsi="宋体"/>
      <w:sz w:val="24"/>
      <w:szCs w:val="24"/>
    </w:rPr>
  </w:style>
  <w:style w:type="character" w:customStyle="1" w:styleId="162">
    <w:name w:val="txt14p1"/>
    <w:qFormat/>
    <w:uiPriority w:val="0"/>
    <w:rPr>
      <w:rFonts w:eastAsia="宋体"/>
      <w:kern w:val="2"/>
      <w:sz w:val="21"/>
      <w:szCs w:val="21"/>
      <w:lang w:val="en-US" w:eastAsia="zh-CN" w:bidi="ar-SA"/>
    </w:rPr>
  </w:style>
  <w:style w:type="character" w:customStyle="1" w:styleId="163">
    <w:name w:val="Char Char111"/>
    <w:qFormat/>
    <w:uiPriority w:val="0"/>
    <w:rPr>
      <w:rFonts w:ascii="Arial" w:hAnsi="Arial" w:eastAsia="黑体"/>
      <w:b/>
      <w:bCs/>
      <w:kern w:val="2"/>
      <w:sz w:val="28"/>
      <w:szCs w:val="28"/>
      <w:lang w:val="en-US" w:eastAsia="zh-CN" w:bidi="ar-SA"/>
    </w:rPr>
  </w:style>
  <w:style w:type="character" w:customStyle="1" w:styleId="164">
    <w:name w:val="len-22 txt12p"/>
    <w:qFormat/>
    <w:uiPriority w:val="0"/>
    <w:rPr>
      <w:rFonts w:eastAsia="宋体"/>
      <w:kern w:val="2"/>
      <w:sz w:val="24"/>
      <w:szCs w:val="24"/>
      <w:lang w:val="en-US" w:eastAsia="zh-CN" w:bidi="ar-SA"/>
    </w:rPr>
  </w:style>
  <w:style w:type="character" w:customStyle="1" w:styleId="165">
    <w:name w:val="样式 (西文) 宋体 小四 首行缩进:  2 字符1 Char Char Char Char Char Char"/>
    <w:qFormat/>
    <w:uiPriority w:val="0"/>
    <w:rPr>
      <w:rFonts w:ascii="宋体" w:hAnsi="宋体" w:eastAsia="宋体" w:cs="宋体"/>
      <w:kern w:val="2"/>
      <w:sz w:val="24"/>
      <w:lang w:val="en-US" w:eastAsia="zh-CN" w:bidi="ar-SA"/>
    </w:rPr>
  </w:style>
  <w:style w:type="character" w:customStyle="1" w:styleId="166">
    <w:name w:val="Char31"/>
    <w:qFormat/>
    <w:uiPriority w:val="0"/>
    <w:rPr>
      <w:rFonts w:ascii="宋体" w:hAnsi="宋体" w:eastAsia="宋体"/>
      <w:b/>
      <w:kern w:val="2"/>
      <w:sz w:val="24"/>
      <w:szCs w:val="24"/>
      <w:lang w:val="en-US" w:eastAsia="zh-CN" w:bidi="ar-SA"/>
    </w:rPr>
  </w:style>
  <w:style w:type="character" w:customStyle="1" w:styleId="167">
    <w:name w:val="大汉方案正文 Char1"/>
    <w:link w:val="168"/>
    <w:qFormat/>
    <w:uiPriority w:val="0"/>
    <w:rPr>
      <w:rFonts w:ascii="Arial" w:hAnsi="Arial"/>
      <w:kern w:val="2"/>
      <w:sz w:val="24"/>
      <w:szCs w:val="24"/>
    </w:rPr>
  </w:style>
  <w:style w:type="paragraph" w:customStyle="1" w:styleId="168">
    <w:name w:val="大汉方案正文"/>
    <w:basedOn w:val="1"/>
    <w:link w:val="167"/>
    <w:qFormat/>
    <w:uiPriority w:val="0"/>
    <w:pPr>
      <w:spacing w:line="360" w:lineRule="auto"/>
      <w:ind w:firstLine="200" w:firstLineChars="200"/>
    </w:pPr>
    <w:rPr>
      <w:rFonts w:ascii="Arial" w:hAnsi="Arial"/>
      <w:sz w:val="24"/>
      <w:szCs w:val="24"/>
    </w:rPr>
  </w:style>
  <w:style w:type="character" w:customStyle="1" w:styleId="169">
    <w:name w:val="副标题 Char"/>
    <w:qFormat/>
    <w:uiPriority w:val="0"/>
    <w:rPr>
      <w:rFonts w:ascii="宋体" w:hAnsi="Courier New"/>
      <w:kern w:val="2"/>
      <w:sz w:val="21"/>
      <w:szCs w:val="24"/>
    </w:rPr>
  </w:style>
  <w:style w:type="character" w:customStyle="1" w:styleId="170">
    <w:name w:val="case31"/>
    <w:qFormat/>
    <w:uiPriority w:val="0"/>
    <w:rPr>
      <w:rFonts w:ascii="ˎ̥" w:hAnsi="ˎ̥" w:eastAsia="宋体"/>
      <w:kern w:val="2"/>
      <w:sz w:val="24"/>
      <w:szCs w:val="24"/>
      <w:lang w:val="en-US" w:eastAsia="zh-CN" w:bidi="ar-SA"/>
    </w:rPr>
  </w:style>
  <w:style w:type="character" w:customStyle="1" w:styleId="171">
    <w:name w:val="Char Char4"/>
    <w:qFormat/>
    <w:uiPriority w:val="0"/>
    <w:rPr>
      <w:rFonts w:eastAsia="宋体"/>
      <w:b/>
      <w:kern w:val="2"/>
      <w:sz w:val="24"/>
      <w:szCs w:val="24"/>
      <w:lang w:val="en-US" w:eastAsia="zh-CN" w:bidi="ar-SA"/>
    </w:rPr>
  </w:style>
  <w:style w:type="character" w:customStyle="1" w:styleId="172">
    <w:name w:val="Char Char5"/>
    <w:qFormat/>
    <w:uiPriority w:val="0"/>
    <w:rPr>
      <w:rFonts w:ascii="宋体" w:hAnsi="宋体" w:eastAsia="宋体"/>
      <w:b/>
      <w:kern w:val="2"/>
      <w:sz w:val="24"/>
      <w:szCs w:val="24"/>
      <w:lang w:val="en-US" w:eastAsia="zh-CN" w:bidi="ar-SA"/>
    </w:rPr>
  </w:style>
  <w:style w:type="character" w:customStyle="1" w:styleId="173">
    <w:name w:val="小 Char Char"/>
    <w:qFormat/>
    <w:uiPriority w:val="0"/>
    <w:rPr>
      <w:rFonts w:ascii="宋体" w:hAnsi="Courier New" w:eastAsia="宋体" w:cs="Courier New"/>
      <w:kern w:val="2"/>
      <w:sz w:val="21"/>
      <w:szCs w:val="21"/>
      <w:lang w:val="en-US" w:eastAsia="zh-CN" w:bidi="ar-SA"/>
    </w:rPr>
  </w:style>
  <w:style w:type="character" w:customStyle="1" w:styleId="174">
    <w:name w:val="Char Char41"/>
    <w:qFormat/>
    <w:uiPriority w:val="0"/>
    <w:rPr>
      <w:rFonts w:eastAsia="宋体"/>
      <w:b/>
      <w:kern w:val="2"/>
      <w:sz w:val="24"/>
      <w:szCs w:val="24"/>
      <w:lang w:val="en-US" w:eastAsia="zh-CN" w:bidi="ar-SA"/>
    </w:rPr>
  </w:style>
  <w:style w:type="character" w:customStyle="1" w:styleId="175">
    <w:name w:val="副标题 Char1"/>
    <w:qFormat/>
    <w:uiPriority w:val="11"/>
    <w:rPr>
      <w:rFonts w:ascii="Cambria" w:hAnsi="Cambria" w:eastAsia="宋体" w:cs="Times New Roman"/>
      <w:b/>
      <w:bCs/>
      <w:kern w:val="28"/>
      <w:sz w:val="32"/>
      <w:szCs w:val="32"/>
    </w:rPr>
  </w:style>
  <w:style w:type="character" w:customStyle="1" w:styleId="176">
    <w:name w:val="webdict1"/>
    <w:qFormat/>
    <w:uiPriority w:val="0"/>
    <w:rPr>
      <w:b/>
      <w:bCs/>
    </w:rPr>
  </w:style>
  <w:style w:type="character" w:customStyle="1" w:styleId="177">
    <w:name w:val="Heading 1 Char"/>
    <w:qFormat/>
    <w:locked/>
    <w:uiPriority w:val="0"/>
    <w:rPr>
      <w:rFonts w:eastAsia="宋体"/>
      <w:b/>
      <w:bCs/>
      <w:kern w:val="44"/>
      <w:sz w:val="44"/>
      <w:szCs w:val="44"/>
      <w:lang w:val="en-US" w:eastAsia="zh-CN" w:bidi="ar-SA"/>
    </w:rPr>
  </w:style>
  <w:style w:type="character" w:customStyle="1" w:styleId="178">
    <w:name w:val="Char Char21"/>
    <w:qFormat/>
    <w:uiPriority w:val="0"/>
    <w:rPr>
      <w:rFonts w:ascii="宋体" w:hAnsi="宋体" w:eastAsia="宋体" w:cs="宋体"/>
      <w:sz w:val="24"/>
      <w:szCs w:val="24"/>
      <w:lang w:val="en-US" w:eastAsia="zh-CN" w:bidi="ar-SA"/>
    </w:rPr>
  </w:style>
  <w:style w:type="character" w:customStyle="1" w:styleId="179">
    <w:name w:val="正文文本 3 Char"/>
    <w:qFormat/>
    <w:uiPriority w:val="0"/>
    <w:rPr>
      <w:rFonts w:ascii="黑体" w:eastAsia="黑体"/>
      <w:kern w:val="2"/>
      <w:sz w:val="84"/>
    </w:rPr>
  </w:style>
  <w:style w:type="character" w:customStyle="1" w:styleId="180">
    <w:name w:val="FA正文 Char Char"/>
    <w:link w:val="181"/>
    <w:qFormat/>
    <w:uiPriority w:val="0"/>
    <w:rPr>
      <w:rFonts w:hAnsi="宋体"/>
      <w:sz w:val="21"/>
      <w:szCs w:val="21"/>
    </w:rPr>
  </w:style>
  <w:style w:type="paragraph" w:customStyle="1" w:styleId="181">
    <w:name w:val="FA正文"/>
    <w:basedOn w:val="1"/>
    <w:link w:val="180"/>
    <w:qFormat/>
    <w:uiPriority w:val="0"/>
    <w:pPr>
      <w:spacing w:line="360" w:lineRule="auto"/>
      <w:ind w:firstLine="473" w:firstLineChars="225"/>
    </w:pPr>
    <w:rPr>
      <w:rFonts w:hAnsi="宋体"/>
      <w:kern w:val="0"/>
      <w:szCs w:val="21"/>
    </w:rPr>
  </w:style>
  <w:style w:type="character" w:customStyle="1" w:styleId="182">
    <w:name w:val="标题 8 Char Char"/>
    <w:qFormat/>
    <w:uiPriority w:val="0"/>
    <w:rPr>
      <w:rFonts w:ascii="宋体" w:hAnsi="宋体" w:eastAsia="宋体"/>
      <w:b/>
      <w:kern w:val="2"/>
      <w:sz w:val="24"/>
      <w:szCs w:val="24"/>
      <w:lang w:val="en-US" w:bidi="ar-SA"/>
    </w:rPr>
  </w:style>
  <w:style w:type="character" w:customStyle="1" w:styleId="183">
    <w:name w:val="正文首行缩进 2 Char"/>
    <w:qFormat/>
    <w:uiPriority w:val="0"/>
    <w:rPr>
      <w:kern w:val="2"/>
      <w:sz w:val="21"/>
      <w:szCs w:val="24"/>
    </w:rPr>
  </w:style>
  <w:style w:type="character" w:customStyle="1" w:styleId="184">
    <w:name w:val="首行缩进 Char"/>
    <w:link w:val="69"/>
    <w:qFormat/>
    <w:uiPriority w:val="0"/>
    <w:rPr>
      <w:rFonts w:ascii="宋体" w:hAnsi="宋体"/>
      <w:kern w:val="2"/>
      <w:sz w:val="21"/>
    </w:rPr>
  </w:style>
  <w:style w:type="character" w:customStyle="1" w:styleId="185">
    <w:name w:val="着重 Char Char"/>
    <w:link w:val="186"/>
    <w:qFormat/>
    <w:uiPriority w:val="0"/>
    <w:rPr>
      <w:rFonts w:ascii="宋体" w:hAnsi="宋体" w:cs="宋体"/>
      <w:b/>
      <w:bCs/>
      <w:kern w:val="2"/>
      <w:sz w:val="24"/>
      <w:szCs w:val="24"/>
      <w:u w:val="single"/>
    </w:rPr>
  </w:style>
  <w:style w:type="paragraph" w:customStyle="1" w:styleId="186">
    <w:name w:val="着重"/>
    <w:basedOn w:val="187"/>
    <w:next w:val="187"/>
    <w:link w:val="185"/>
    <w:qFormat/>
    <w:uiPriority w:val="0"/>
    <w:pPr>
      <w:spacing w:line="360" w:lineRule="auto"/>
    </w:pPr>
    <w:rPr>
      <w:b/>
      <w:bCs/>
      <w:kern w:val="2"/>
      <w:szCs w:val="24"/>
      <w:u w:val="single"/>
    </w:rPr>
  </w:style>
  <w:style w:type="paragraph" w:customStyle="1" w:styleId="187">
    <w:name w:val="正文格式"/>
    <w:basedOn w:val="1"/>
    <w:link w:val="223"/>
    <w:qFormat/>
    <w:uiPriority w:val="0"/>
    <w:pPr>
      <w:widowControl/>
      <w:adjustRightInd w:val="0"/>
      <w:snapToGrid w:val="0"/>
      <w:spacing w:line="360" w:lineRule="atLeast"/>
      <w:ind w:firstLine="482"/>
      <w:textAlignment w:val="baseline"/>
    </w:pPr>
    <w:rPr>
      <w:rFonts w:ascii="宋体" w:hAnsi="宋体"/>
      <w:kern w:val="0"/>
      <w:sz w:val="24"/>
    </w:rPr>
  </w:style>
  <w:style w:type="character" w:customStyle="1" w:styleId="188">
    <w:name w:val="页脚 字符"/>
    <w:link w:val="36"/>
    <w:qFormat/>
    <w:uiPriority w:val="99"/>
    <w:rPr>
      <w:kern w:val="2"/>
      <w:sz w:val="18"/>
    </w:rPr>
  </w:style>
  <w:style w:type="character" w:customStyle="1" w:styleId="189">
    <w:name w:val="批注文字 Char1"/>
    <w:semiHidden/>
    <w:qFormat/>
    <w:uiPriority w:val="99"/>
    <w:rPr>
      <w:rFonts w:ascii="Times New Roman" w:hAnsi="Times New Roman" w:eastAsia="宋体" w:cs="Times New Roman"/>
      <w:szCs w:val="20"/>
    </w:rPr>
  </w:style>
  <w:style w:type="character" w:customStyle="1" w:styleId="190">
    <w:name w:val="Item Step in Table Char Char"/>
    <w:link w:val="191"/>
    <w:qFormat/>
    <w:uiPriority w:val="0"/>
    <w:rPr>
      <w:rFonts w:ascii="Arial" w:hAnsi="Arial" w:cs="Arial"/>
      <w:sz w:val="18"/>
      <w:szCs w:val="18"/>
      <w:lang w:val="en-US" w:eastAsia="zh-CN" w:bidi="ar-SA"/>
    </w:rPr>
  </w:style>
  <w:style w:type="paragraph" w:customStyle="1" w:styleId="191">
    <w:name w:val="Item Step in Table"/>
    <w:link w:val="190"/>
    <w:qFormat/>
    <w:uiPriority w:val="0"/>
    <w:pPr>
      <w:tabs>
        <w:tab w:val="left" w:pos="397"/>
      </w:tabs>
      <w:spacing w:before="40" w:after="40"/>
      <w:ind w:left="397" w:hanging="397"/>
      <w:jc w:val="both"/>
    </w:pPr>
    <w:rPr>
      <w:rFonts w:ascii="Arial" w:hAnsi="Arial" w:eastAsia="宋体" w:cs="Arial"/>
      <w:sz w:val="18"/>
      <w:szCs w:val="18"/>
      <w:lang w:val="en-US" w:eastAsia="zh-CN" w:bidi="ar-SA"/>
    </w:rPr>
  </w:style>
  <w:style w:type="character" w:customStyle="1" w:styleId="192">
    <w:name w:val="正文文本缩进 3 Char"/>
    <w:qFormat/>
    <w:uiPriority w:val="0"/>
    <w:rPr>
      <w:rFonts w:ascii="Arial" w:hAnsi="Arial"/>
      <w:color w:val="000000"/>
      <w:kern w:val="2"/>
      <w:sz w:val="28"/>
      <w:szCs w:val="24"/>
    </w:rPr>
  </w:style>
  <w:style w:type="character" w:customStyle="1" w:styleId="193">
    <w:name w:val="正文文本缩进 2 字符"/>
    <w:link w:val="33"/>
    <w:qFormat/>
    <w:uiPriority w:val="0"/>
    <w:rPr>
      <w:rFonts w:hAnsi="宋体"/>
      <w:kern w:val="2"/>
      <w:sz w:val="24"/>
    </w:rPr>
  </w:style>
  <w:style w:type="character" w:customStyle="1" w:styleId="194">
    <w:name w:val="content3"/>
    <w:qFormat/>
    <w:uiPriority w:val="0"/>
    <w:rPr>
      <w:rFonts w:ascii="ˎ̥" w:hAnsi="ˎ̥" w:eastAsia="宋体"/>
      <w:kern w:val="2"/>
      <w:sz w:val="14"/>
      <w:szCs w:val="14"/>
      <w:u w:val="none"/>
      <w:lang w:val="en-US" w:eastAsia="zh-CN" w:bidi="ar-SA"/>
    </w:rPr>
  </w:style>
  <w:style w:type="character" w:customStyle="1" w:styleId="195">
    <w:name w:val="尾注文本 Char"/>
    <w:qFormat/>
    <w:uiPriority w:val="0"/>
    <w:rPr>
      <w:kern w:val="2"/>
      <w:sz w:val="21"/>
      <w:szCs w:val="24"/>
    </w:rPr>
  </w:style>
  <w:style w:type="character" w:customStyle="1" w:styleId="196">
    <w:name w:val="标题 3 Char Char Char"/>
    <w:qFormat/>
    <w:uiPriority w:val="0"/>
    <w:rPr>
      <w:rFonts w:ascii="宋体" w:hAnsi="宋体" w:eastAsia="宋体"/>
      <w:b/>
      <w:bCs/>
      <w:kern w:val="2"/>
      <w:sz w:val="30"/>
      <w:szCs w:val="32"/>
      <w:lang w:val="en-US" w:eastAsia="zh-CN" w:bidi="ar-SA"/>
    </w:rPr>
  </w:style>
  <w:style w:type="character" w:customStyle="1" w:styleId="197">
    <w:name w:val="标题 6 Char Char"/>
    <w:qFormat/>
    <w:uiPriority w:val="0"/>
    <w:rPr>
      <w:rFonts w:ascii="宋体" w:hAnsi="宋体" w:eastAsia="宋体"/>
      <w:b/>
      <w:bCs/>
      <w:kern w:val="2"/>
      <w:sz w:val="24"/>
      <w:szCs w:val="21"/>
      <w:lang w:val="en-US" w:eastAsia="zh-CN" w:bidi="ar-SA"/>
    </w:rPr>
  </w:style>
  <w:style w:type="character" w:customStyle="1" w:styleId="198">
    <w:name w:val="注释标题 Char"/>
    <w:qFormat/>
    <w:uiPriority w:val="0"/>
    <w:rPr>
      <w:rFonts w:ascii="宋体" w:hAnsi="宋体" w:eastAsia="Times New Roman"/>
      <w:sz w:val="24"/>
      <w:szCs w:val="24"/>
    </w:rPr>
  </w:style>
  <w:style w:type="character" w:customStyle="1" w:styleId="199">
    <w:name w:val="HTML 预设格式 Char"/>
    <w:qFormat/>
    <w:uiPriority w:val="0"/>
    <w:rPr>
      <w:rFonts w:ascii="宋体" w:hAnsi="宋体" w:cs="宋体"/>
      <w:sz w:val="24"/>
      <w:szCs w:val="24"/>
    </w:rPr>
  </w:style>
  <w:style w:type="character" w:customStyle="1" w:styleId="200">
    <w:name w:val="批注框文本 字符"/>
    <w:link w:val="35"/>
    <w:qFormat/>
    <w:uiPriority w:val="0"/>
    <w:rPr>
      <w:kern w:val="2"/>
      <w:sz w:val="18"/>
    </w:rPr>
  </w:style>
  <w:style w:type="character" w:customStyle="1" w:styleId="201">
    <w:name w:val="apple-style-span"/>
    <w:basedOn w:val="55"/>
    <w:qFormat/>
    <w:uiPriority w:val="0"/>
  </w:style>
  <w:style w:type="character" w:customStyle="1" w:styleId="202">
    <w:name w:val="trans"/>
    <w:basedOn w:val="55"/>
    <w:qFormat/>
    <w:uiPriority w:val="0"/>
  </w:style>
  <w:style w:type="character" w:customStyle="1" w:styleId="203">
    <w:name w:val="textnormchn1"/>
    <w:qFormat/>
    <w:uiPriority w:val="0"/>
    <w:rPr>
      <w:rFonts w:hint="default" w:ascii="ˎ̥,Verdana,Arial" w:hAnsi="ˎ̥,Verdana,Arial"/>
      <w:color w:val="000000"/>
      <w:sz w:val="18"/>
      <w:szCs w:val="18"/>
    </w:rPr>
  </w:style>
  <w:style w:type="character" w:customStyle="1" w:styleId="204">
    <w:name w:val="Char Char2"/>
    <w:qFormat/>
    <w:uiPriority w:val="0"/>
    <w:rPr>
      <w:rFonts w:ascii="宋体" w:hAnsi="宋体" w:eastAsia="宋体" w:cs="宋体"/>
      <w:sz w:val="24"/>
      <w:szCs w:val="24"/>
      <w:lang w:val="en-US" w:eastAsia="zh-CN" w:bidi="ar-SA"/>
    </w:rPr>
  </w:style>
  <w:style w:type="character" w:customStyle="1" w:styleId="205">
    <w:name w:val="段落 Char"/>
    <w:qFormat/>
    <w:uiPriority w:val="0"/>
    <w:rPr>
      <w:rFonts w:eastAsia="仿宋_GB2312"/>
      <w:kern w:val="2"/>
      <w:sz w:val="24"/>
      <w:lang w:val="en-US" w:eastAsia="zh-CN" w:bidi="ar-SA"/>
    </w:rPr>
  </w:style>
  <w:style w:type="character" w:customStyle="1" w:styleId="206">
    <w:name w:val="Char Char9"/>
    <w:qFormat/>
    <w:uiPriority w:val="0"/>
    <w:rPr>
      <w:rFonts w:ascii="Arial" w:hAnsi="Arial" w:eastAsia="宋体"/>
      <w:b/>
      <w:sz w:val="40"/>
      <w:szCs w:val="21"/>
      <w:lang w:val="en-GB" w:eastAsia="en-US" w:bidi="ar-SA"/>
    </w:rPr>
  </w:style>
  <w:style w:type="character" w:customStyle="1" w:styleId="207">
    <w:name w:val="标题 5 Char Char"/>
    <w:qFormat/>
    <w:uiPriority w:val="0"/>
    <w:rPr>
      <w:rFonts w:eastAsia="宋体"/>
      <w:b/>
      <w:kern w:val="2"/>
      <w:sz w:val="24"/>
      <w:szCs w:val="24"/>
      <w:lang w:val="en-US" w:eastAsia="zh-CN" w:bidi="ar-SA"/>
    </w:rPr>
  </w:style>
  <w:style w:type="character" w:customStyle="1" w:styleId="208">
    <w:name w:val="main1"/>
    <w:basedOn w:val="55"/>
    <w:qFormat/>
    <w:uiPriority w:val="0"/>
  </w:style>
  <w:style w:type="character" w:customStyle="1" w:styleId="209">
    <w:name w:val="正文文本 Char Char"/>
    <w:qFormat/>
    <w:uiPriority w:val="0"/>
    <w:rPr>
      <w:rFonts w:eastAsia="宋体"/>
      <w:kern w:val="2"/>
      <w:sz w:val="21"/>
      <w:szCs w:val="24"/>
      <w:lang w:val="en-US" w:eastAsia="zh-CN" w:bidi="ar-SA"/>
    </w:rPr>
  </w:style>
  <w:style w:type="character" w:customStyle="1" w:styleId="210">
    <w:name w:val="标题 Char"/>
    <w:qFormat/>
    <w:uiPriority w:val="0"/>
    <w:rPr>
      <w:rFonts w:ascii="Cambria" w:hAnsi="Cambria"/>
      <w:b/>
      <w:bCs/>
      <w:kern w:val="2"/>
      <w:sz w:val="32"/>
      <w:szCs w:val="32"/>
    </w:rPr>
  </w:style>
  <w:style w:type="character" w:customStyle="1" w:styleId="211">
    <w:name w:val="标题 1 Char Char"/>
    <w:qFormat/>
    <w:uiPriority w:val="0"/>
    <w:rPr>
      <w:rFonts w:ascii="宋体" w:eastAsia="宋体"/>
      <w:b/>
      <w:bCs/>
      <w:kern w:val="44"/>
      <w:sz w:val="44"/>
      <w:szCs w:val="44"/>
      <w:lang w:val="en-US" w:eastAsia="zh-CN" w:bidi="ar-SA"/>
    </w:rPr>
  </w:style>
  <w:style w:type="character" w:customStyle="1" w:styleId="212">
    <w:name w:val="样式81"/>
    <w:qFormat/>
    <w:uiPriority w:val="0"/>
    <w:rPr>
      <w:rFonts w:eastAsia="宋体"/>
      <w:color w:val="FF9A00"/>
      <w:kern w:val="2"/>
      <w:sz w:val="24"/>
      <w:szCs w:val="24"/>
      <w:lang w:val="en-US" w:eastAsia="zh-CN" w:bidi="ar-SA"/>
    </w:rPr>
  </w:style>
  <w:style w:type="character" w:customStyle="1" w:styleId="213">
    <w:name w:val="批注主题 字符"/>
    <w:link w:val="51"/>
    <w:qFormat/>
    <w:uiPriority w:val="0"/>
    <w:rPr>
      <w:b/>
      <w:bCs/>
      <w:kern w:val="2"/>
      <w:sz w:val="21"/>
    </w:rPr>
  </w:style>
  <w:style w:type="character" w:customStyle="1" w:styleId="214">
    <w:name w:val="Char Char Char Char Char Char Char Char Char1"/>
    <w:qFormat/>
    <w:uiPriority w:val="0"/>
    <w:rPr>
      <w:rFonts w:ascii="宋体" w:hAnsi="宋体"/>
      <w:sz w:val="24"/>
      <w:szCs w:val="24"/>
    </w:rPr>
  </w:style>
  <w:style w:type="character" w:customStyle="1" w:styleId="215">
    <w:name w:val="bigword1"/>
    <w:qFormat/>
    <w:uiPriority w:val="0"/>
    <w:rPr>
      <w:sz w:val="21"/>
      <w:szCs w:val="21"/>
    </w:rPr>
  </w:style>
  <w:style w:type="character" w:customStyle="1" w:styleId="216">
    <w:name w:val="正文文本 2 Char"/>
    <w:qFormat/>
    <w:uiPriority w:val="0"/>
    <w:rPr>
      <w:rFonts w:ascii="宋体" w:hAnsi="宋体"/>
      <w:color w:val="000000"/>
      <w:kern w:val="2"/>
      <w:sz w:val="24"/>
      <w:szCs w:val="24"/>
    </w:rPr>
  </w:style>
  <w:style w:type="character" w:customStyle="1" w:styleId="217">
    <w:name w:val="正文文本缩进 Char"/>
    <w:qFormat/>
    <w:uiPriority w:val="0"/>
    <w:rPr>
      <w:kern w:val="2"/>
      <w:sz w:val="21"/>
    </w:rPr>
  </w:style>
  <w:style w:type="character" w:customStyle="1" w:styleId="218">
    <w:name w:val="Char Char91"/>
    <w:qFormat/>
    <w:uiPriority w:val="0"/>
    <w:rPr>
      <w:rFonts w:ascii="Arial" w:hAnsi="Arial" w:eastAsia="宋体"/>
      <w:b/>
      <w:sz w:val="40"/>
      <w:szCs w:val="21"/>
      <w:lang w:val="en-GB" w:eastAsia="en-US" w:bidi="ar-SA"/>
    </w:rPr>
  </w:style>
  <w:style w:type="character" w:customStyle="1" w:styleId="219">
    <w:name w:val="big1"/>
    <w:qFormat/>
    <w:uiPriority w:val="0"/>
    <w:rPr>
      <w:spacing w:val="320"/>
      <w:sz w:val="18"/>
      <w:szCs w:val="18"/>
    </w:rPr>
  </w:style>
  <w:style w:type="character" w:customStyle="1" w:styleId="220">
    <w:name w:val="正文首行缩进 Char Char"/>
    <w:basedOn w:val="209"/>
    <w:qFormat/>
    <w:uiPriority w:val="0"/>
    <w:rPr>
      <w:rFonts w:eastAsia="宋体"/>
      <w:kern w:val="2"/>
      <w:sz w:val="21"/>
      <w:szCs w:val="24"/>
      <w:lang w:val="en-US" w:eastAsia="zh-CN" w:bidi="ar-SA"/>
    </w:rPr>
  </w:style>
  <w:style w:type="character" w:customStyle="1" w:styleId="221">
    <w:name w:val="Heading 2 Char"/>
    <w:qFormat/>
    <w:locked/>
    <w:uiPriority w:val="0"/>
    <w:rPr>
      <w:rFonts w:ascii="Arial" w:hAnsi="Arial" w:eastAsia="黑体" w:cs="Arial"/>
      <w:b/>
      <w:bCs/>
      <w:kern w:val="2"/>
      <w:sz w:val="32"/>
      <w:szCs w:val="32"/>
      <w:lang w:val="en-US" w:eastAsia="zh-CN" w:bidi="ar-SA"/>
    </w:rPr>
  </w:style>
  <w:style w:type="character" w:customStyle="1" w:styleId="222">
    <w:name w:val="main12"/>
    <w:qFormat/>
    <w:uiPriority w:val="0"/>
    <w:rPr>
      <w:rFonts w:eastAsia="宋体"/>
      <w:kern w:val="2"/>
      <w:sz w:val="24"/>
      <w:szCs w:val="24"/>
      <w:lang w:val="en-US" w:eastAsia="zh-CN" w:bidi="ar-SA"/>
    </w:rPr>
  </w:style>
  <w:style w:type="character" w:customStyle="1" w:styleId="223">
    <w:name w:val="正文格式 Char Char"/>
    <w:link w:val="187"/>
    <w:qFormat/>
    <w:uiPriority w:val="0"/>
    <w:rPr>
      <w:rFonts w:ascii="宋体" w:hAnsi="宋体" w:cs="宋体"/>
      <w:sz w:val="24"/>
    </w:rPr>
  </w:style>
  <w:style w:type="character" w:customStyle="1" w:styleId="224">
    <w:name w:val="页眉 字符"/>
    <w:basedOn w:val="55"/>
    <w:link w:val="37"/>
    <w:qFormat/>
    <w:uiPriority w:val="99"/>
    <w:rPr>
      <w:kern w:val="2"/>
      <w:sz w:val="18"/>
      <w:szCs w:val="18"/>
    </w:rPr>
  </w:style>
  <w:style w:type="character" w:customStyle="1" w:styleId="225">
    <w:name w:val="样式 (西文) 宋体 小四 首行缩进:  2 字符1 Char2"/>
    <w:qFormat/>
    <w:uiPriority w:val="0"/>
    <w:rPr>
      <w:rFonts w:ascii="宋体" w:hAnsi="宋体" w:eastAsia="宋体" w:cs="宋体"/>
      <w:kern w:val="2"/>
      <w:sz w:val="24"/>
      <w:lang w:val="en-US" w:eastAsia="zh-CN" w:bidi="ar-SA"/>
    </w:rPr>
  </w:style>
  <w:style w:type="character" w:customStyle="1" w:styleId="226">
    <w:name w:val="Heading 3 Char"/>
    <w:qFormat/>
    <w:locked/>
    <w:uiPriority w:val="0"/>
    <w:rPr>
      <w:rFonts w:ascii="黑体" w:eastAsia="黑体" w:cs="黑体"/>
      <w:kern w:val="2"/>
      <w:sz w:val="30"/>
      <w:szCs w:val="30"/>
      <w:lang w:val="zh-CN" w:eastAsia="zh-CN" w:bidi="ar-SA"/>
    </w:rPr>
  </w:style>
  <w:style w:type="character" w:customStyle="1" w:styleId="227">
    <w:name w:val="font12-blue-bold1"/>
    <w:qFormat/>
    <w:uiPriority w:val="0"/>
    <w:rPr>
      <w:rFonts w:eastAsia="宋体"/>
      <w:b/>
      <w:bCs/>
      <w:color w:val="0249A5"/>
      <w:kern w:val="2"/>
      <w:sz w:val="18"/>
      <w:szCs w:val="18"/>
      <w:u w:val="none"/>
      <w:lang w:val="en-US" w:eastAsia="zh-CN" w:bidi="ar-SA"/>
    </w:rPr>
  </w:style>
  <w:style w:type="character" w:customStyle="1" w:styleId="228">
    <w:name w:val="标题 Char1"/>
    <w:qFormat/>
    <w:uiPriority w:val="10"/>
    <w:rPr>
      <w:rFonts w:ascii="Cambria" w:hAnsi="Cambria" w:eastAsia="宋体" w:cs="Times New Roman"/>
      <w:b/>
      <w:bCs/>
      <w:sz w:val="32"/>
      <w:szCs w:val="32"/>
    </w:rPr>
  </w:style>
  <w:style w:type="character" w:customStyle="1" w:styleId="229">
    <w:name w:val="标题 7 Char Char"/>
    <w:qFormat/>
    <w:uiPriority w:val="0"/>
    <w:rPr>
      <w:rFonts w:ascii="宋体" w:hAnsi="宋体" w:eastAsia="宋体"/>
      <w:b/>
      <w:bCs/>
      <w:kern w:val="2"/>
      <w:sz w:val="24"/>
      <w:szCs w:val="24"/>
      <w:lang w:val="en-US" w:eastAsia="zh-CN" w:bidi="ar-SA"/>
    </w:rPr>
  </w:style>
  <w:style w:type="character" w:customStyle="1" w:styleId="230">
    <w:name w:val="样式 (西文) 宋体 小四 首行缩进:  2 字符1 Char Char Char Char Char1"/>
    <w:qFormat/>
    <w:uiPriority w:val="0"/>
    <w:rPr>
      <w:rFonts w:ascii="宋体" w:hAnsi="宋体" w:eastAsia="宋体" w:cs="宋体"/>
      <w:kern w:val="2"/>
      <w:sz w:val="24"/>
      <w:lang w:val="en-US" w:eastAsia="zh-CN" w:bidi="ar-SA"/>
    </w:rPr>
  </w:style>
  <w:style w:type="character" w:customStyle="1" w:styleId="231">
    <w:name w:val="样式 (西文) 宋体 小四 首行缩进:  2 字符1 Char Char Char"/>
    <w:qFormat/>
    <w:uiPriority w:val="0"/>
    <w:rPr>
      <w:rFonts w:ascii="宋体" w:hAnsi="宋体" w:eastAsia="宋体" w:cs="宋体"/>
      <w:kern w:val="2"/>
      <w:sz w:val="24"/>
      <w:lang w:val="en-US" w:eastAsia="zh-CN" w:bidi="ar-SA"/>
    </w:rPr>
  </w:style>
  <w:style w:type="character" w:customStyle="1" w:styleId="232">
    <w:name w:val="apple-converted-space"/>
    <w:qFormat/>
    <w:uiPriority w:val="0"/>
  </w:style>
  <w:style w:type="character" w:customStyle="1" w:styleId="233">
    <w:name w:val="正文文本 3 字符"/>
    <w:basedOn w:val="55"/>
    <w:link w:val="20"/>
    <w:qFormat/>
    <w:uiPriority w:val="99"/>
    <w:rPr>
      <w:kern w:val="2"/>
      <w:sz w:val="16"/>
      <w:szCs w:val="16"/>
    </w:rPr>
  </w:style>
  <w:style w:type="character" w:customStyle="1" w:styleId="234">
    <w:name w:val="尾注文本 字符"/>
    <w:basedOn w:val="55"/>
    <w:link w:val="34"/>
    <w:qFormat/>
    <w:uiPriority w:val="99"/>
    <w:rPr>
      <w:kern w:val="2"/>
      <w:sz w:val="21"/>
    </w:rPr>
  </w:style>
  <w:style w:type="character" w:customStyle="1" w:styleId="235">
    <w:name w:val="正文文本缩进 Char1"/>
    <w:basedOn w:val="55"/>
    <w:semiHidden/>
    <w:qFormat/>
    <w:uiPriority w:val="0"/>
    <w:rPr>
      <w:kern w:val="2"/>
      <w:sz w:val="21"/>
    </w:rPr>
  </w:style>
  <w:style w:type="character" w:customStyle="1" w:styleId="236">
    <w:name w:val="正文文本 Char1"/>
    <w:basedOn w:val="55"/>
    <w:semiHidden/>
    <w:qFormat/>
    <w:uiPriority w:val="99"/>
    <w:rPr>
      <w:kern w:val="2"/>
      <w:sz w:val="21"/>
    </w:rPr>
  </w:style>
  <w:style w:type="character" w:customStyle="1" w:styleId="237">
    <w:name w:val="副标题 字符"/>
    <w:basedOn w:val="55"/>
    <w:link w:val="40"/>
    <w:qFormat/>
    <w:uiPriority w:val="11"/>
    <w:rPr>
      <w:rFonts w:ascii="Cambria" w:hAnsi="Cambria" w:cs="Times New Roman"/>
      <w:b/>
      <w:bCs/>
      <w:kern w:val="28"/>
      <w:sz w:val="32"/>
      <w:szCs w:val="32"/>
    </w:rPr>
  </w:style>
  <w:style w:type="character" w:customStyle="1" w:styleId="238">
    <w:name w:val="批注文字 字符"/>
    <w:basedOn w:val="55"/>
    <w:link w:val="18"/>
    <w:qFormat/>
    <w:uiPriority w:val="99"/>
    <w:rPr>
      <w:kern w:val="2"/>
      <w:sz w:val="21"/>
    </w:rPr>
  </w:style>
  <w:style w:type="character" w:customStyle="1" w:styleId="239">
    <w:name w:val="批注主题 Char1"/>
    <w:basedOn w:val="238"/>
    <w:semiHidden/>
    <w:qFormat/>
    <w:uiPriority w:val="99"/>
    <w:rPr>
      <w:b/>
      <w:bCs/>
      <w:kern w:val="2"/>
      <w:sz w:val="21"/>
    </w:rPr>
  </w:style>
  <w:style w:type="character" w:customStyle="1" w:styleId="240">
    <w:name w:val="日期 Char1"/>
    <w:basedOn w:val="55"/>
    <w:semiHidden/>
    <w:qFormat/>
    <w:uiPriority w:val="99"/>
    <w:rPr>
      <w:kern w:val="2"/>
      <w:sz w:val="21"/>
    </w:rPr>
  </w:style>
  <w:style w:type="character" w:customStyle="1" w:styleId="241">
    <w:name w:val="批注框文本 Char1"/>
    <w:basedOn w:val="55"/>
    <w:semiHidden/>
    <w:qFormat/>
    <w:uiPriority w:val="99"/>
    <w:rPr>
      <w:kern w:val="2"/>
      <w:sz w:val="18"/>
      <w:szCs w:val="18"/>
    </w:rPr>
  </w:style>
  <w:style w:type="character" w:customStyle="1" w:styleId="242">
    <w:name w:val="正文文本 2 字符"/>
    <w:basedOn w:val="55"/>
    <w:link w:val="22"/>
    <w:qFormat/>
    <w:uiPriority w:val="99"/>
    <w:rPr>
      <w:kern w:val="2"/>
      <w:sz w:val="21"/>
    </w:rPr>
  </w:style>
  <w:style w:type="character" w:customStyle="1" w:styleId="243">
    <w:name w:val="HTML 预设格式 字符"/>
    <w:basedOn w:val="55"/>
    <w:link w:val="47"/>
    <w:qFormat/>
    <w:uiPriority w:val="99"/>
    <w:rPr>
      <w:rFonts w:ascii="Courier New" w:hAnsi="Courier New" w:cs="Courier New"/>
      <w:kern w:val="2"/>
    </w:rPr>
  </w:style>
  <w:style w:type="character" w:customStyle="1" w:styleId="244">
    <w:name w:val="正文文本 字符"/>
    <w:basedOn w:val="55"/>
    <w:link w:val="21"/>
    <w:qFormat/>
    <w:uiPriority w:val="0"/>
    <w:rPr>
      <w:kern w:val="2"/>
      <w:sz w:val="21"/>
    </w:rPr>
  </w:style>
  <w:style w:type="character" w:customStyle="1" w:styleId="245">
    <w:name w:val="正文文本首行缩进 字符"/>
    <w:basedOn w:val="244"/>
    <w:link w:val="52"/>
    <w:qFormat/>
    <w:uiPriority w:val="99"/>
    <w:rPr>
      <w:kern w:val="2"/>
      <w:sz w:val="21"/>
    </w:rPr>
  </w:style>
  <w:style w:type="character" w:customStyle="1" w:styleId="246">
    <w:name w:val="注释标题 字符"/>
    <w:basedOn w:val="55"/>
    <w:link w:val="14"/>
    <w:qFormat/>
    <w:uiPriority w:val="99"/>
    <w:rPr>
      <w:kern w:val="2"/>
      <w:sz w:val="21"/>
    </w:rPr>
  </w:style>
  <w:style w:type="character" w:customStyle="1" w:styleId="247">
    <w:name w:val="文档结构图 Char1"/>
    <w:basedOn w:val="55"/>
    <w:semiHidden/>
    <w:qFormat/>
    <w:uiPriority w:val="99"/>
    <w:rPr>
      <w:rFonts w:ascii="宋体"/>
      <w:kern w:val="2"/>
      <w:sz w:val="18"/>
      <w:szCs w:val="18"/>
    </w:rPr>
  </w:style>
  <w:style w:type="character" w:customStyle="1" w:styleId="248">
    <w:name w:val="正文文本缩进 2 Char1"/>
    <w:basedOn w:val="55"/>
    <w:semiHidden/>
    <w:qFormat/>
    <w:uiPriority w:val="99"/>
    <w:rPr>
      <w:kern w:val="2"/>
      <w:sz w:val="21"/>
    </w:rPr>
  </w:style>
  <w:style w:type="character" w:customStyle="1" w:styleId="249">
    <w:name w:val="页脚 Char1"/>
    <w:basedOn w:val="55"/>
    <w:semiHidden/>
    <w:qFormat/>
    <w:uiPriority w:val="99"/>
    <w:rPr>
      <w:kern w:val="2"/>
      <w:sz w:val="18"/>
      <w:szCs w:val="18"/>
    </w:rPr>
  </w:style>
  <w:style w:type="character" w:customStyle="1" w:styleId="250">
    <w:name w:val="正文文本缩进 3 字符"/>
    <w:basedOn w:val="55"/>
    <w:link w:val="42"/>
    <w:qFormat/>
    <w:uiPriority w:val="99"/>
    <w:rPr>
      <w:kern w:val="2"/>
      <w:sz w:val="16"/>
      <w:szCs w:val="16"/>
    </w:rPr>
  </w:style>
  <w:style w:type="character" w:customStyle="1" w:styleId="251">
    <w:name w:val="正文文本缩进 字符"/>
    <w:basedOn w:val="55"/>
    <w:link w:val="23"/>
    <w:qFormat/>
    <w:uiPriority w:val="0"/>
    <w:rPr>
      <w:rFonts w:ascii="宋体" w:hAnsi="宋体"/>
      <w:kern w:val="2"/>
    </w:rPr>
  </w:style>
  <w:style w:type="character" w:customStyle="1" w:styleId="252">
    <w:name w:val="正文文本首行缩进 2 字符"/>
    <w:basedOn w:val="251"/>
    <w:link w:val="24"/>
    <w:qFormat/>
    <w:uiPriority w:val="99"/>
    <w:rPr>
      <w:rFonts w:ascii="宋体" w:hAnsi="宋体"/>
      <w:kern w:val="2"/>
    </w:rPr>
  </w:style>
  <w:style w:type="character" w:customStyle="1" w:styleId="253">
    <w:name w:val="标题 字符"/>
    <w:basedOn w:val="55"/>
    <w:link w:val="50"/>
    <w:qFormat/>
    <w:uiPriority w:val="10"/>
    <w:rPr>
      <w:rFonts w:ascii="Cambria" w:hAnsi="Cambria" w:cs="Times New Roman"/>
      <w:b/>
      <w:bCs/>
      <w:kern w:val="2"/>
      <w:sz w:val="32"/>
      <w:szCs w:val="32"/>
    </w:rPr>
  </w:style>
  <w:style w:type="paragraph" w:customStyle="1" w:styleId="254">
    <w:name w:val="Char Char Char1 Char"/>
    <w:basedOn w:val="1"/>
    <w:qFormat/>
    <w:uiPriority w:val="0"/>
    <w:pPr>
      <w:spacing w:line="360" w:lineRule="auto"/>
      <w:ind w:firstLine="200" w:firstLineChars="200"/>
    </w:pPr>
    <w:rPr>
      <w:szCs w:val="24"/>
    </w:rPr>
  </w:style>
  <w:style w:type="paragraph" w:customStyle="1" w:styleId="255">
    <w:name w:val="xl11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25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color w:val="000000"/>
      <w:kern w:val="0"/>
      <w:sz w:val="24"/>
      <w:szCs w:val="24"/>
    </w:rPr>
  </w:style>
  <w:style w:type="paragraph" w:customStyle="1" w:styleId="257">
    <w:name w:val="文字"/>
    <w:basedOn w:val="1"/>
    <w:qFormat/>
    <w:uiPriority w:val="0"/>
    <w:pPr>
      <w:tabs>
        <w:tab w:val="left" w:pos="8520"/>
      </w:tabs>
      <w:spacing w:line="312" w:lineRule="auto"/>
      <w:ind w:right="-210" w:firstLine="556"/>
    </w:pPr>
    <w:rPr>
      <w:rFonts w:ascii="楷体_GB2312" w:eastAsia="楷体_GB2312"/>
      <w:sz w:val="28"/>
    </w:rPr>
  </w:style>
  <w:style w:type="paragraph" w:customStyle="1" w:styleId="258">
    <w:name w:val="xl35"/>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0000FF"/>
      <w:kern w:val="0"/>
      <w:sz w:val="20"/>
      <w:szCs w:val="21"/>
    </w:rPr>
  </w:style>
  <w:style w:type="paragraph" w:customStyle="1" w:styleId="259">
    <w:name w:val="Char1 Char Char Char Char Char Char Char Char Char Char Char1"/>
    <w:basedOn w:val="1"/>
    <w:qFormat/>
    <w:uiPriority w:val="0"/>
    <w:rPr>
      <w:rFonts w:ascii="Tahoma" w:hAnsi="Tahoma"/>
      <w:sz w:val="24"/>
    </w:rPr>
  </w:style>
  <w:style w:type="paragraph" w:customStyle="1" w:styleId="26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FF"/>
      <w:kern w:val="0"/>
      <w:sz w:val="24"/>
      <w:szCs w:val="24"/>
    </w:rPr>
  </w:style>
  <w:style w:type="paragraph" w:customStyle="1" w:styleId="261">
    <w:name w:val="分类格式缩进"/>
    <w:qFormat/>
    <w:uiPriority w:val="0"/>
    <w:pPr>
      <w:tabs>
        <w:tab w:val="left" w:pos="250"/>
        <w:tab w:val="left" w:pos="420"/>
      </w:tabs>
      <w:spacing w:line="360" w:lineRule="auto"/>
      <w:ind w:left="907" w:hanging="397"/>
    </w:pPr>
    <w:rPr>
      <w:rFonts w:ascii="宋体" w:hAnsi="宋体" w:eastAsia="宋体" w:cs="Times New Roman"/>
      <w:kern w:val="2"/>
      <w:sz w:val="24"/>
      <w:lang w:val="en-US" w:eastAsia="zh-CN" w:bidi="ar-SA"/>
    </w:rPr>
  </w:style>
  <w:style w:type="paragraph" w:customStyle="1" w:styleId="262">
    <w:name w:val="样式 标题 2第一章 标题 2Heading 2 HiddenHeading 2 CCBSheading 2H2h2..."/>
    <w:basedOn w:val="3"/>
    <w:qFormat/>
    <w:uiPriority w:val="0"/>
    <w:pPr>
      <w:keepNext w:val="0"/>
      <w:numPr>
        <w:ilvl w:val="0"/>
        <w:numId w:val="0"/>
      </w:numPr>
      <w:tabs>
        <w:tab w:val="left" w:pos="510"/>
        <w:tab w:val="left" w:pos="840"/>
      </w:tabs>
      <w:adjustRightInd w:val="0"/>
      <w:spacing w:line="415" w:lineRule="auto"/>
      <w:ind w:left="840" w:hanging="420"/>
      <w:jc w:val="both"/>
      <w:textAlignment w:val="baseline"/>
    </w:pPr>
    <w:rPr>
      <w:rFonts w:ascii="Arial" w:hAnsi="Arial" w:eastAsia="黑体"/>
      <w:sz w:val="32"/>
      <w:szCs w:val="24"/>
    </w:rPr>
  </w:style>
  <w:style w:type="paragraph" w:customStyle="1" w:styleId="263">
    <w:name w:val="infoblue"/>
    <w:basedOn w:val="1"/>
    <w:qFormat/>
    <w:uiPriority w:val="0"/>
    <w:pPr>
      <w:adjustRightInd w:val="0"/>
      <w:spacing w:after="120" w:line="240" w:lineRule="atLeast"/>
      <w:ind w:left="450"/>
      <w:textAlignment w:val="baseline"/>
    </w:pPr>
    <w:rPr>
      <w:rFonts w:eastAsia="楷体_GB2312"/>
      <w:i/>
      <w:color w:val="0000FF"/>
      <w:kern w:val="0"/>
      <w:szCs w:val="21"/>
    </w:rPr>
  </w:style>
  <w:style w:type="paragraph" w:customStyle="1" w:styleId="264">
    <w:name w:val="正文2"/>
    <w:basedOn w:val="1"/>
    <w:qFormat/>
    <w:uiPriority w:val="0"/>
    <w:pPr>
      <w:adjustRightInd w:val="0"/>
      <w:spacing w:before="156" w:line="360" w:lineRule="auto"/>
      <w:ind w:firstLine="510" w:firstLineChars="200"/>
      <w:textAlignment w:val="baseline"/>
    </w:pPr>
    <w:rPr>
      <w:sz w:val="24"/>
    </w:rPr>
  </w:style>
  <w:style w:type="paragraph" w:customStyle="1" w:styleId="265">
    <w:name w:val="Char Char1 Char Char2 Char Char"/>
    <w:basedOn w:val="1"/>
    <w:qFormat/>
    <w:uiPriority w:val="0"/>
    <w:pPr>
      <w:widowControl/>
      <w:spacing w:after="160" w:line="240" w:lineRule="exact"/>
      <w:jc w:val="left"/>
    </w:pPr>
    <w:rPr>
      <w:rFonts w:ascii="Verdana" w:hAnsi="Verdana" w:eastAsia="方正仿宋简体"/>
      <w:kern w:val="0"/>
      <w:sz w:val="20"/>
      <w:lang w:eastAsia="en-US"/>
    </w:rPr>
  </w:style>
  <w:style w:type="paragraph" w:customStyle="1" w:styleId="266">
    <w:name w:val="沈阳系统功能编号"/>
    <w:basedOn w:val="52"/>
    <w:qFormat/>
    <w:uiPriority w:val="0"/>
    <w:pPr>
      <w:tabs>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267">
    <w:name w:val="目录标题"/>
    <w:basedOn w:val="1"/>
    <w:next w:val="1"/>
    <w:qFormat/>
    <w:uiPriority w:val="0"/>
    <w:pPr>
      <w:adjustRightInd w:val="0"/>
      <w:spacing w:before="240" w:after="240"/>
      <w:jc w:val="center"/>
      <w:textAlignment w:val="baseline"/>
    </w:pPr>
    <w:rPr>
      <w:rFonts w:eastAsia="黑体"/>
      <w:b/>
      <w:sz w:val="28"/>
      <w:szCs w:val="28"/>
    </w:rPr>
  </w:style>
  <w:style w:type="paragraph" w:customStyle="1" w:styleId="268">
    <w:name w:val="样式 小四 左侧:  2.86 厘米 首行缩进:  2 字符1"/>
    <w:basedOn w:val="1"/>
    <w:qFormat/>
    <w:uiPriority w:val="0"/>
    <w:pPr>
      <w:numPr>
        <w:ilvl w:val="0"/>
        <w:numId w:val="2"/>
      </w:numPr>
      <w:ind w:firstLine="200" w:firstLineChars="200"/>
    </w:pPr>
    <w:rPr>
      <w:rFonts w:cs="宋体"/>
      <w:sz w:val="24"/>
    </w:rPr>
  </w:style>
  <w:style w:type="paragraph" w:customStyle="1" w:styleId="269">
    <w:name w:val="样式 正文首行缩进 + 首行缩进:  1 字符1"/>
    <w:basedOn w:val="52"/>
    <w:qFormat/>
    <w:uiPriority w:val="0"/>
    <w:pPr>
      <w:adjustRightInd w:val="0"/>
      <w:spacing w:after="0" w:line="300" w:lineRule="auto"/>
      <w:ind w:firstLine="200" w:firstLineChars="200"/>
      <w:textAlignment w:val="baseline"/>
    </w:pPr>
    <w:rPr>
      <w:rFonts w:cs="宋体"/>
      <w:kern w:val="0"/>
      <w:szCs w:val="21"/>
    </w:rPr>
  </w:style>
  <w:style w:type="paragraph" w:customStyle="1" w:styleId="270">
    <w:name w:val="正文3级项目符号"/>
    <w:basedOn w:val="21"/>
    <w:qFormat/>
    <w:uiPriority w:val="0"/>
    <w:pPr>
      <w:adjustRightInd w:val="0"/>
      <w:spacing w:before="120" w:line="360" w:lineRule="exact"/>
      <w:textAlignment w:val="baseline"/>
    </w:pPr>
    <w:rPr>
      <w:kern w:val="0"/>
      <w:szCs w:val="21"/>
    </w:rPr>
  </w:style>
  <w:style w:type="paragraph" w:customStyle="1" w:styleId="271">
    <w:name w:val="投标 - 引用表格"/>
    <w:basedOn w:val="1"/>
    <w:qFormat/>
    <w:uiPriority w:val="0"/>
    <w:pPr>
      <w:adjustRightInd w:val="0"/>
      <w:snapToGrid w:val="0"/>
      <w:textAlignment w:val="baseline"/>
    </w:pPr>
    <w:rPr>
      <w:b/>
      <w:bCs/>
      <w:i/>
      <w:kern w:val="0"/>
      <w:szCs w:val="21"/>
    </w:rPr>
  </w:style>
  <w:style w:type="paragraph" w:customStyle="1" w:styleId="272">
    <w:name w:val="修订1"/>
    <w:semiHidden/>
    <w:qFormat/>
    <w:uiPriority w:val="0"/>
    <w:rPr>
      <w:rFonts w:ascii="Times New Roman" w:hAnsi="Times New Roman" w:eastAsia="宋体" w:cs="Times New Roman"/>
      <w:kern w:val="2"/>
      <w:sz w:val="24"/>
      <w:szCs w:val="24"/>
      <w:lang w:val="en-US" w:eastAsia="zh-CN" w:bidi="ar-SA"/>
    </w:rPr>
  </w:style>
  <w:style w:type="paragraph" w:customStyle="1" w:styleId="273">
    <w:name w:val="Char1 Char Char Char Char Char Char1 Char Char"/>
    <w:basedOn w:val="1"/>
    <w:semiHidden/>
    <w:qFormat/>
    <w:uiPriority w:val="0"/>
    <w:rPr>
      <w:rFonts w:ascii="Tahoma" w:hAnsi="Tahoma" w:cs="仿宋_GB2312"/>
      <w:sz w:val="24"/>
      <w:szCs w:val="28"/>
    </w:rPr>
  </w:style>
  <w:style w:type="paragraph" w:customStyle="1" w:styleId="274">
    <w:name w:val="a"/>
    <w:basedOn w:val="1"/>
    <w:qFormat/>
    <w:uiPriority w:val="0"/>
    <w:pPr>
      <w:adjustRightInd w:val="0"/>
      <w:spacing w:before="100" w:beforeAutospacing="1" w:after="100" w:afterAutospacing="1"/>
      <w:textAlignment w:val="baseline"/>
    </w:pPr>
    <w:rPr>
      <w:rFonts w:ascii="宋体" w:hAnsi="宋体"/>
      <w:kern w:val="0"/>
      <w:szCs w:val="24"/>
    </w:rPr>
  </w:style>
  <w:style w:type="paragraph" w:customStyle="1" w:styleId="275">
    <w:name w:val="图题"/>
    <w:basedOn w:val="1"/>
    <w:next w:val="1"/>
    <w:qFormat/>
    <w:uiPriority w:val="0"/>
    <w:pPr>
      <w:adjustRightInd w:val="0"/>
      <w:snapToGrid w:val="0"/>
      <w:spacing w:before="50" w:after="50"/>
      <w:jc w:val="center"/>
      <w:textAlignment w:val="baseline"/>
    </w:pPr>
    <w:rPr>
      <w:b/>
      <w:sz w:val="18"/>
      <w:szCs w:val="21"/>
    </w:rPr>
  </w:style>
  <w:style w:type="paragraph" w:customStyle="1" w:styleId="276">
    <w:name w:val="样式 (西文) 宋体 小四 首行缩进:  2 字符1"/>
    <w:basedOn w:val="1"/>
    <w:qFormat/>
    <w:uiPriority w:val="0"/>
    <w:pPr>
      <w:ind w:firstLine="480" w:firstLineChars="200"/>
    </w:pPr>
    <w:rPr>
      <w:rFonts w:ascii="宋体" w:hAnsi="宋体" w:cs="宋体"/>
      <w:sz w:val="24"/>
    </w:rPr>
  </w:style>
  <w:style w:type="paragraph" w:customStyle="1" w:styleId="277">
    <w:name w:val="Char Char Char Char Char Char Char11"/>
    <w:basedOn w:val="1"/>
    <w:qFormat/>
    <w:uiPriority w:val="0"/>
    <w:rPr>
      <w:rFonts w:ascii="Tahoma" w:hAnsi="Tahoma"/>
      <w:sz w:val="24"/>
    </w:rPr>
  </w:style>
  <w:style w:type="paragraph" w:customStyle="1" w:styleId="278">
    <w:name w:val="标题2"/>
    <w:basedOn w:val="3"/>
    <w:qFormat/>
    <w:uiPriority w:val="0"/>
    <w:pPr>
      <w:numPr>
        <w:ilvl w:val="0"/>
        <w:numId w:val="0"/>
      </w:numPr>
      <w:spacing w:before="120" w:after="120" w:line="240" w:lineRule="auto"/>
      <w:ind w:left="288" w:hanging="288"/>
      <w:jc w:val="both"/>
    </w:pPr>
    <w:rPr>
      <w:rFonts w:ascii="Times New Roman" w:hAnsi="Times New Roman" w:eastAsia="楷体_GB2312"/>
      <w:color w:val="003366"/>
      <w:sz w:val="32"/>
    </w:rPr>
  </w:style>
  <w:style w:type="paragraph" w:customStyle="1" w:styleId="279">
    <w:name w:val="样式 标题 7标题 7 Char + 行距: 固定值 18 磅"/>
    <w:basedOn w:val="9"/>
    <w:qFormat/>
    <w:uiPriority w:val="0"/>
    <w:pPr>
      <w:numPr>
        <w:ilvl w:val="0"/>
        <w:numId w:val="0"/>
      </w:numPr>
      <w:spacing w:before="0" w:after="0" w:line="360" w:lineRule="exact"/>
      <w:ind w:firstLine="357"/>
    </w:pPr>
    <w:rPr>
      <w:rFonts w:ascii="宋体" w:hAnsi="宋体" w:eastAsia="黑体" w:cs="宋体"/>
      <w:bCs/>
    </w:rPr>
  </w:style>
  <w:style w:type="paragraph" w:customStyle="1" w:styleId="280">
    <w:name w:val="Default Paragraph Font Para Char"/>
    <w:basedOn w:val="1"/>
    <w:qFormat/>
    <w:uiPriority w:val="0"/>
    <w:pPr>
      <w:widowControl/>
      <w:spacing w:after="160" w:line="240" w:lineRule="exact"/>
      <w:jc w:val="left"/>
    </w:pPr>
    <w:rPr>
      <w:rFonts w:ascii="Verdana" w:hAnsi="Verdana"/>
      <w:kern w:val="0"/>
      <w:sz w:val="20"/>
      <w:lang w:eastAsia="en-US"/>
    </w:rPr>
  </w:style>
  <w:style w:type="paragraph" w:customStyle="1" w:styleId="281">
    <w:name w:val="正文2级项目符号"/>
    <w:basedOn w:val="21"/>
    <w:qFormat/>
    <w:uiPriority w:val="0"/>
    <w:pPr>
      <w:numPr>
        <w:ilvl w:val="0"/>
        <w:numId w:val="3"/>
      </w:numPr>
      <w:tabs>
        <w:tab w:val="left" w:pos="1928"/>
      </w:tabs>
      <w:adjustRightInd w:val="0"/>
      <w:spacing w:before="120" w:line="360" w:lineRule="exact"/>
      <w:textAlignment w:val="baseline"/>
    </w:pPr>
    <w:rPr>
      <w:kern w:val="0"/>
      <w:szCs w:val="21"/>
    </w:rPr>
  </w:style>
  <w:style w:type="paragraph" w:customStyle="1" w:styleId="282">
    <w:name w:val="缺省文本"/>
    <w:basedOn w:val="1"/>
    <w:qFormat/>
    <w:uiPriority w:val="0"/>
    <w:pPr>
      <w:autoSpaceDE w:val="0"/>
      <w:autoSpaceDN w:val="0"/>
      <w:adjustRightInd w:val="0"/>
      <w:spacing w:before="20" w:after="20" w:line="400" w:lineRule="exact"/>
      <w:ind w:firstLine="504"/>
      <w:jc w:val="left"/>
    </w:pPr>
    <w:rPr>
      <w:kern w:val="0"/>
      <w:sz w:val="24"/>
    </w:rPr>
  </w:style>
  <w:style w:type="paragraph" w:customStyle="1" w:styleId="283">
    <w:name w:val="font10"/>
    <w:basedOn w:val="1"/>
    <w:qFormat/>
    <w:uiPriority w:val="0"/>
    <w:pPr>
      <w:adjustRightInd w:val="0"/>
      <w:spacing w:before="100" w:beforeAutospacing="1" w:after="100" w:afterAutospacing="1"/>
      <w:textAlignment w:val="baseline"/>
    </w:pPr>
    <w:rPr>
      <w:color w:val="0000FF"/>
      <w:kern w:val="0"/>
      <w:sz w:val="20"/>
      <w:szCs w:val="21"/>
    </w:rPr>
  </w:style>
  <w:style w:type="paragraph" w:customStyle="1" w:styleId="284">
    <w:name w:val="正文首行缩进4"/>
    <w:basedOn w:val="1"/>
    <w:qFormat/>
    <w:uiPriority w:val="0"/>
    <w:pPr>
      <w:adjustRightInd w:val="0"/>
      <w:spacing w:line="300" w:lineRule="auto"/>
      <w:ind w:firstLine="200" w:firstLineChars="200"/>
      <w:textAlignment w:val="baseline"/>
    </w:pPr>
    <w:rPr>
      <w:kern w:val="0"/>
      <w:szCs w:val="21"/>
    </w:rPr>
  </w:style>
  <w:style w:type="paragraph" w:customStyle="1" w:styleId="285">
    <w:name w:val="列项——（一级）"/>
    <w:qFormat/>
    <w:uiPriority w:val="0"/>
    <w:pPr>
      <w:widowControl w:val="0"/>
      <w:tabs>
        <w:tab w:val="left" w:pos="1140"/>
        <w:tab w:val="left" w:pos="3420"/>
      </w:tabs>
      <w:adjustRightInd w:val="0"/>
      <w:spacing w:line="560" w:lineRule="exact"/>
      <w:ind w:left="1140" w:hanging="720"/>
      <w:jc w:val="both"/>
      <w:textAlignment w:val="baseline"/>
    </w:pPr>
    <w:rPr>
      <w:rFonts w:ascii="宋体" w:hAnsi="宋体" w:eastAsia="宋体" w:cs="Times New Roman"/>
      <w:color w:val="000000"/>
      <w:kern w:val="2"/>
      <w:sz w:val="24"/>
      <w:lang w:val="en-US" w:eastAsia="zh-CN" w:bidi="ar-SA"/>
    </w:rPr>
  </w:style>
  <w:style w:type="paragraph" w:customStyle="1" w:styleId="286">
    <w:name w:val="Char Char1 Char Char Char"/>
    <w:basedOn w:val="17"/>
    <w:qFormat/>
    <w:uiPriority w:val="0"/>
    <w:rPr>
      <w:rFonts w:ascii="Tahoma" w:hAnsi="Tahoma"/>
      <w:sz w:val="24"/>
      <w:szCs w:val="24"/>
    </w:rPr>
  </w:style>
  <w:style w:type="paragraph" w:customStyle="1" w:styleId="287">
    <w:name w:val="样式 标题 3level_3PIM 3H3Level 3 Head + 行距: 多倍行距 1.73 字行"/>
    <w:basedOn w:val="4"/>
    <w:qFormat/>
    <w:uiPriority w:val="0"/>
    <w:pPr>
      <w:adjustRightInd w:val="0"/>
      <w:spacing w:line="415" w:lineRule="auto"/>
      <w:ind w:left="851" w:hanging="851"/>
      <w:textAlignment w:val="baseline"/>
    </w:pPr>
    <w:rPr>
      <w:rFonts w:eastAsia="黑体"/>
      <w:sz w:val="30"/>
      <w:szCs w:val="24"/>
    </w:rPr>
  </w:style>
  <w:style w:type="paragraph" w:customStyle="1" w:styleId="288">
    <w:name w:val="phead"/>
    <w:basedOn w:val="1"/>
    <w:qFormat/>
    <w:uiPriority w:val="0"/>
    <w:pPr>
      <w:widowControl/>
      <w:numPr>
        <w:ilvl w:val="0"/>
        <w:numId w:val="4"/>
      </w:numPr>
      <w:spacing w:before="100" w:beforeAutospacing="1" w:after="100" w:afterAutospacing="1"/>
      <w:jc w:val="left"/>
    </w:pPr>
    <w:rPr>
      <w:rFonts w:ascii="Verdana" w:hAnsi="Verdana" w:cs="宋体"/>
      <w:color w:val="000000"/>
      <w:kern w:val="0"/>
      <w:sz w:val="20"/>
    </w:rPr>
  </w:style>
  <w:style w:type="paragraph" w:customStyle="1" w:styleId="289">
    <w:name w:val="xl30"/>
    <w:basedOn w:val="1"/>
    <w:qFormat/>
    <w:uiPriority w:val="0"/>
    <w:pPr>
      <w:widowControl/>
      <w:pBdr>
        <w:bottom w:val="single" w:color="auto" w:sz="4" w:space="0"/>
        <w:right w:val="single" w:color="auto" w:sz="4" w:space="0"/>
      </w:pBdr>
      <w:spacing w:before="100" w:beforeAutospacing="1" w:after="100" w:afterAutospacing="1"/>
    </w:pPr>
    <w:rPr>
      <w:kern w:val="0"/>
    </w:rPr>
  </w:style>
  <w:style w:type="paragraph" w:customStyle="1" w:styleId="290">
    <w:name w:val="样式5"/>
    <w:basedOn w:val="7"/>
    <w:qFormat/>
    <w:uiPriority w:val="0"/>
    <w:pPr>
      <w:numPr>
        <w:ilvl w:val="0"/>
        <w:numId w:val="0"/>
      </w:numPr>
      <w:tabs>
        <w:tab w:val="left" w:pos="420"/>
        <w:tab w:val="left" w:pos="1130"/>
      </w:tabs>
      <w:spacing w:before="0" w:after="0" w:line="360" w:lineRule="auto"/>
      <w:ind w:left="420" w:hanging="420" w:firstLineChars="200"/>
    </w:pPr>
    <w:rPr>
      <w:rFonts w:ascii="宋体" w:hAnsi="宋体"/>
      <w:b w:val="0"/>
      <w:sz w:val="24"/>
      <w:szCs w:val="24"/>
    </w:rPr>
  </w:style>
  <w:style w:type="paragraph" w:customStyle="1" w:styleId="291">
    <w:name w:val="文档正文"/>
    <w:basedOn w:val="1"/>
    <w:qFormat/>
    <w:uiPriority w:val="0"/>
    <w:pPr>
      <w:adjustRightInd w:val="0"/>
      <w:spacing w:after="120" w:line="360" w:lineRule="auto"/>
      <w:ind w:firstLine="480" w:firstLineChars="200"/>
      <w:textAlignment w:val="baseline"/>
    </w:pPr>
    <w:rPr>
      <w:rFonts w:ascii="华文细黑" w:hAnsi="华文细黑" w:eastAsia="华文细黑"/>
      <w:color w:val="000000"/>
      <w:kern w:val="0"/>
    </w:rPr>
  </w:style>
  <w:style w:type="paragraph" w:customStyle="1" w:styleId="292">
    <w:name w:val="表内正文"/>
    <w:basedOn w:val="1"/>
    <w:qFormat/>
    <w:uiPriority w:val="0"/>
    <w:pPr>
      <w:keepNext/>
      <w:widowControl/>
      <w:adjustRightInd w:val="0"/>
      <w:spacing w:beforeLines="50"/>
      <w:jc w:val="left"/>
      <w:textAlignment w:val="baseline"/>
    </w:pPr>
    <w:rPr>
      <w:rFonts w:ascii="宋体" w:hAnsi="宋体"/>
      <w:kern w:val="0"/>
      <w:szCs w:val="21"/>
    </w:rPr>
  </w:style>
  <w:style w:type="paragraph" w:customStyle="1" w:styleId="293">
    <w:name w:val="Char Char Char Char Char Char Char Char Char Char Char Char Char Char Char Char Char Char Char Char Char Char"/>
    <w:basedOn w:val="1"/>
    <w:qFormat/>
    <w:uiPriority w:val="0"/>
    <w:rPr>
      <w:rFonts w:ascii="Tahoma" w:hAnsi="Tahoma"/>
      <w:sz w:val="24"/>
    </w:rPr>
  </w:style>
  <w:style w:type="paragraph" w:customStyle="1" w:styleId="294">
    <w:name w:val="沈阳设备性能编号"/>
    <w:basedOn w:val="295"/>
    <w:qFormat/>
    <w:uiPriority w:val="0"/>
    <w:pPr>
      <w:tabs>
        <w:tab w:val="left" w:pos="360"/>
        <w:tab w:val="left" w:pos="420"/>
        <w:tab w:val="left" w:pos="1387"/>
      </w:tabs>
    </w:pPr>
  </w:style>
  <w:style w:type="paragraph" w:customStyle="1" w:styleId="295">
    <w:name w:val="沈阳设备组成编号"/>
    <w:basedOn w:val="52"/>
    <w:qFormat/>
    <w:uiPriority w:val="0"/>
    <w:pPr>
      <w:tabs>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296">
    <w:name w:val="font6"/>
    <w:basedOn w:val="1"/>
    <w:qFormat/>
    <w:uiPriority w:val="0"/>
    <w:pPr>
      <w:adjustRightInd w:val="0"/>
      <w:spacing w:before="100" w:beforeAutospacing="1" w:after="100" w:afterAutospacing="1"/>
      <w:textAlignment w:val="baseline"/>
    </w:pPr>
    <w:rPr>
      <w:rFonts w:hint="eastAsia" w:ascii="宋体" w:hAnsi="宋体"/>
      <w:kern w:val="0"/>
      <w:sz w:val="20"/>
      <w:szCs w:val="21"/>
    </w:rPr>
  </w:style>
  <w:style w:type="paragraph" w:customStyle="1" w:styleId="297">
    <w:name w:val="Char11"/>
    <w:basedOn w:val="1"/>
    <w:qFormat/>
    <w:uiPriority w:val="0"/>
    <w:rPr>
      <w:rFonts w:ascii="Tahoma" w:hAnsi="Tahoma"/>
      <w:sz w:val="24"/>
    </w:rPr>
  </w:style>
  <w:style w:type="paragraph" w:customStyle="1" w:styleId="298">
    <w:name w:val="xl37"/>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299">
    <w:name w:val="文本框"/>
    <w:basedOn w:val="21"/>
    <w:next w:val="21"/>
    <w:qFormat/>
    <w:uiPriority w:val="0"/>
    <w:pPr>
      <w:adjustRightInd w:val="0"/>
      <w:snapToGrid w:val="0"/>
      <w:jc w:val="center"/>
      <w:textAlignment w:val="baseline"/>
    </w:pPr>
    <w:rPr>
      <w:kern w:val="0"/>
      <w:szCs w:val="21"/>
    </w:rPr>
  </w:style>
  <w:style w:type="paragraph" w:customStyle="1" w:styleId="300">
    <w:name w:val="标题(小)"/>
    <w:basedOn w:val="1"/>
    <w:next w:val="1"/>
    <w:qFormat/>
    <w:uiPriority w:val="0"/>
    <w:pPr>
      <w:adjustRightInd w:val="0"/>
      <w:spacing w:line="360" w:lineRule="atLeast"/>
      <w:jc w:val="center"/>
      <w:textAlignment w:val="baseline"/>
    </w:pPr>
    <w:rPr>
      <w:rFonts w:ascii="黑体" w:eastAsia="黑体"/>
      <w:sz w:val="32"/>
    </w:rPr>
  </w:style>
  <w:style w:type="paragraph" w:customStyle="1" w:styleId="301">
    <w:name w:val="±íÉí"/>
    <w:basedOn w:val="1"/>
    <w:qFormat/>
    <w:uiPriority w:val="0"/>
    <w:pPr>
      <w:widowControl/>
      <w:overflowPunct w:val="0"/>
      <w:autoSpaceDE w:val="0"/>
      <w:autoSpaceDN w:val="0"/>
      <w:adjustRightInd w:val="0"/>
      <w:spacing w:line="300" w:lineRule="auto"/>
      <w:jc w:val="left"/>
      <w:textAlignment w:val="baseline"/>
    </w:pPr>
    <w:rPr>
      <w:kern w:val="0"/>
      <w:sz w:val="18"/>
    </w:rPr>
  </w:style>
  <w:style w:type="paragraph" w:customStyle="1" w:styleId="302">
    <w:name w:val="数字标题5"/>
    <w:basedOn w:val="7"/>
    <w:next w:val="1"/>
    <w:qFormat/>
    <w:uiPriority w:val="0"/>
    <w:pPr>
      <w:numPr>
        <w:ilvl w:val="5"/>
        <w:numId w:val="5"/>
      </w:numPr>
      <w:tabs>
        <w:tab w:val="left" w:pos="1440"/>
      </w:tabs>
      <w:spacing w:line="376" w:lineRule="auto"/>
      <w:ind w:left="1440"/>
    </w:pPr>
    <w:rPr>
      <w:bCs/>
      <w:szCs w:val="28"/>
    </w:rPr>
  </w:style>
  <w:style w:type="paragraph" w:customStyle="1" w:styleId="303">
    <w:name w:val="Char3 Char Char Char"/>
    <w:basedOn w:val="1"/>
    <w:qFormat/>
    <w:uiPriority w:val="0"/>
    <w:rPr>
      <w:rFonts w:ascii="Tahoma" w:hAnsi="Tahoma"/>
      <w:sz w:val="24"/>
    </w:rPr>
  </w:style>
  <w:style w:type="paragraph" w:customStyle="1" w:styleId="304">
    <w:name w:val="样式2潘"/>
    <w:basedOn w:val="1"/>
    <w:qFormat/>
    <w:uiPriority w:val="0"/>
    <w:rPr>
      <w:rFonts w:ascii="Arial" w:hAnsi="Arial" w:eastAsia="仿宋_GB2312"/>
      <w:szCs w:val="24"/>
    </w:rPr>
  </w:style>
  <w:style w:type="paragraph" w:customStyle="1" w:styleId="305">
    <w:name w:val="沈阳系统性能编号"/>
    <w:basedOn w:val="306"/>
    <w:qFormat/>
    <w:uiPriority w:val="0"/>
    <w:pPr>
      <w:numPr>
        <w:ilvl w:val="0"/>
        <w:numId w:val="6"/>
      </w:numPr>
      <w:tabs>
        <w:tab w:val="left" w:pos="0"/>
        <w:tab w:val="left" w:pos="360"/>
        <w:tab w:val="left" w:pos="420"/>
        <w:tab w:val="left" w:pos="1387"/>
      </w:tabs>
      <w:ind w:left="0" w:firstLine="420"/>
    </w:pPr>
  </w:style>
  <w:style w:type="paragraph" w:customStyle="1" w:styleId="306">
    <w:name w:val="沈阳系统组成编号"/>
    <w:basedOn w:val="52"/>
    <w:qFormat/>
    <w:uiPriority w:val="0"/>
    <w:pPr>
      <w:tabs>
        <w:tab w:val="left" w:pos="0"/>
        <w:tab w:val="left" w:pos="360"/>
        <w:tab w:val="left" w:pos="420"/>
        <w:tab w:val="left" w:pos="1387"/>
      </w:tabs>
      <w:adjustRightInd w:val="0"/>
      <w:spacing w:after="0" w:line="300" w:lineRule="auto"/>
      <w:ind w:firstLine="0" w:firstLineChars="0"/>
      <w:textAlignment w:val="baseline"/>
    </w:pPr>
    <w:rPr>
      <w:kern w:val="0"/>
      <w:szCs w:val="21"/>
    </w:rPr>
  </w:style>
  <w:style w:type="paragraph" w:customStyle="1" w:styleId="307">
    <w:name w:val="默认段落字体 Para Char Char Char Char Char Char Char Char Char1 Char Char Char Char Char Char Char"/>
    <w:basedOn w:val="17"/>
    <w:qFormat/>
    <w:uiPriority w:val="0"/>
    <w:rPr>
      <w:rFonts w:ascii="Tahoma" w:hAnsi="Tahoma"/>
      <w:sz w:val="24"/>
      <w:szCs w:val="24"/>
    </w:rPr>
  </w:style>
  <w:style w:type="paragraph" w:customStyle="1" w:styleId="308">
    <w:name w:val="Char Char Char Char Char Char Char Char Char Char Char Char Char"/>
    <w:basedOn w:val="1"/>
    <w:qFormat/>
    <w:uiPriority w:val="0"/>
    <w:rPr>
      <w:rFonts w:ascii="Tahoma" w:hAnsi="Tahoma"/>
      <w:sz w:val="24"/>
    </w:rPr>
  </w:style>
  <w:style w:type="paragraph" w:customStyle="1" w:styleId="309">
    <w:name w:val="lq_标题2"/>
    <w:basedOn w:val="1"/>
    <w:qFormat/>
    <w:uiPriority w:val="0"/>
    <w:pPr>
      <w:snapToGrid w:val="0"/>
      <w:spacing w:line="360" w:lineRule="auto"/>
      <w:ind w:firstLine="200" w:firstLineChars="200"/>
    </w:pPr>
    <w:rPr>
      <w:rFonts w:ascii="仿宋_GB2312" w:hAnsi="宋体" w:eastAsia="仿宋_GB2312"/>
      <w:b/>
      <w:bCs/>
      <w:color w:val="000000"/>
      <w:sz w:val="28"/>
      <w:szCs w:val="28"/>
    </w:rPr>
  </w:style>
  <w:style w:type="paragraph" w:customStyle="1" w:styleId="310">
    <w:name w:val="列表2"/>
    <w:basedOn w:val="1"/>
    <w:next w:val="1"/>
    <w:qFormat/>
    <w:uiPriority w:val="0"/>
    <w:pPr>
      <w:tabs>
        <w:tab w:val="left" w:pos="798"/>
      </w:tabs>
      <w:spacing w:line="360" w:lineRule="auto"/>
      <w:ind w:left="420" w:hanging="420"/>
    </w:pPr>
  </w:style>
  <w:style w:type="paragraph" w:customStyle="1" w:styleId="311">
    <w:name w:val="xl38"/>
    <w:basedOn w:val="1"/>
    <w:qFormat/>
    <w:uiPriority w:val="0"/>
    <w:pPr>
      <w:pBdr>
        <w:top w:val="single" w:color="auto" w:sz="4" w:space="0"/>
        <w:left w:val="single" w:color="auto" w:sz="4" w:space="0"/>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00FF"/>
      <w:kern w:val="0"/>
      <w:sz w:val="20"/>
      <w:szCs w:val="21"/>
    </w:rPr>
  </w:style>
  <w:style w:type="paragraph" w:customStyle="1" w:styleId="31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13">
    <w:name w:val="Char Char2 Char Char Char Char Char Char Char Char Char Char"/>
    <w:basedOn w:val="1"/>
    <w:qFormat/>
    <w:uiPriority w:val="0"/>
    <w:rPr>
      <w:rFonts w:ascii="Tahoma" w:hAnsi="Tahoma"/>
      <w:sz w:val="24"/>
    </w:rPr>
  </w:style>
  <w:style w:type="paragraph" w:customStyle="1" w:styleId="314">
    <w:name w:val="Char2 Char Char Char Char Char Char Char Char Char Char Char Char"/>
    <w:basedOn w:val="1"/>
    <w:qFormat/>
    <w:uiPriority w:val="0"/>
    <w:pPr>
      <w:spacing w:line="360" w:lineRule="auto"/>
      <w:ind w:firstLine="200" w:firstLineChars="200"/>
    </w:pPr>
    <w:rPr>
      <w:rFonts w:ascii="Tahoma" w:hAnsi="Tahoma"/>
      <w:sz w:val="24"/>
      <w:szCs w:val="24"/>
    </w:rPr>
  </w:style>
  <w:style w:type="paragraph" w:customStyle="1" w:styleId="315">
    <w:name w:val="xl24"/>
    <w:basedOn w:val="1"/>
    <w:qFormat/>
    <w:uiPriority w:val="0"/>
    <w:pPr>
      <w:widowControl/>
      <w:spacing w:before="100" w:beforeAutospacing="1" w:after="100" w:afterAutospacing="1"/>
      <w:jc w:val="center"/>
      <w:textAlignment w:val="center"/>
    </w:pPr>
    <w:rPr>
      <w:rFonts w:ascii="宋体" w:hAnsi="宋体"/>
      <w:kern w:val="0"/>
      <w:sz w:val="24"/>
      <w:szCs w:val="24"/>
    </w:rPr>
  </w:style>
  <w:style w:type="paragraph" w:customStyle="1" w:styleId="316">
    <w:name w:val="Char Char3"/>
    <w:basedOn w:val="1"/>
    <w:qFormat/>
    <w:uiPriority w:val="0"/>
    <w:pPr>
      <w:spacing w:line="360" w:lineRule="auto"/>
      <w:ind w:firstLine="200" w:firstLineChars="200"/>
    </w:pPr>
    <w:rPr>
      <w:rFonts w:ascii="Tahoma" w:hAnsi="Tahoma"/>
      <w:sz w:val="24"/>
      <w:szCs w:val="24"/>
    </w:rPr>
  </w:style>
  <w:style w:type="paragraph" w:customStyle="1" w:styleId="317">
    <w:name w:val="Char Char Char Char Char Char Char Char Char Char Char Char Char Char Char Char Char Char Char"/>
    <w:basedOn w:val="1"/>
    <w:qFormat/>
    <w:uiPriority w:val="0"/>
    <w:pPr>
      <w:tabs>
        <w:tab w:val="left" w:pos="420"/>
        <w:tab w:val="left" w:pos="907"/>
      </w:tabs>
      <w:ind w:left="907" w:hanging="453"/>
    </w:pPr>
    <w:rPr>
      <w:sz w:val="24"/>
      <w:szCs w:val="24"/>
    </w:rPr>
  </w:style>
  <w:style w:type="paragraph" w:customStyle="1" w:styleId="318">
    <w:name w:val="xl39"/>
    <w:basedOn w:val="1"/>
    <w:qFormat/>
    <w:uiPriority w:val="0"/>
    <w:pPr>
      <w:pBdr>
        <w:top w:val="single" w:color="auto" w:sz="4" w:space="0"/>
        <w:left w:val="single" w:color="auto" w:sz="4" w:space="0"/>
        <w:bottom w:val="single" w:color="auto" w:sz="4" w:space="0"/>
        <w:right w:val="double" w:color="auto" w:sz="6" w:space="0"/>
      </w:pBdr>
      <w:shd w:val="clear" w:color="auto" w:fill="FFFF99"/>
      <w:adjustRightInd w:val="0"/>
      <w:spacing w:before="100" w:beforeAutospacing="1" w:after="100" w:afterAutospacing="1"/>
      <w:textAlignment w:val="baseline"/>
    </w:pPr>
    <w:rPr>
      <w:rFonts w:ascii="宋体" w:hAnsi="宋体"/>
      <w:kern w:val="0"/>
      <w:sz w:val="20"/>
      <w:szCs w:val="21"/>
    </w:rPr>
  </w:style>
  <w:style w:type="paragraph" w:customStyle="1" w:styleId="319">
    <w:name w:val="Char3"/>
    <w:basedOn w:val="1"/>
    <w:qFormat/>
    <w:uiPriority w:val="0"/>
    <w:rPr>
      <w:rFonts w:ascii="Tahoma" w:hAnsi="Tahoma"/>
      <w:sz w:val="24"/>
    </w:rPr>
  </w:style>
  <w:style w:type="paragraph" w:customStyle="1" w:styleId="320">
    <w:name w:val="style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1">
    <w:name w:val="Char Char Char Char Char Char Char Char Char1 Char Char Char Char"/>
    <w:basedOn w:val="1"/>
    <w:qFormat/>
    <w:uiPriority w:val="0"/>
    <w:rPr>
      <w:rFonts w:ascii="Tahoma" w:hAnsi="Tahoma"/>
      <w:sz w:val="24"/>
    </w:rPr>
  </w:style>
  <w:style w:type="paragraph" w:customStyle="1" w:styleId="322">
    <w:name w:val="沈阳设备功能编号"/>
    <w:basedOn w:val="52"/>
    <w:qFormat/>
    <w:uiPriority w:val="0"/>
    <w:pPr>
      <w:numPr>
        <w:ilvl w:val="0"/>
        <w:numId w:val="7"/>
      </w:numPr>
      <w:tabs>
        <w:tab w:val="left" w:pos="0"/>
        <w:tab w:val="left" w:pos="360"/>
        <w:tab w:val="left" w:pos="1387"/>
      </w:tabs>
      <w:adjustRightInd w:val="0"/>
      <w:spacing w:after="0" w:line="300" w:lineRule="auto"/>
      <w:ind w:left="0" w:firstLine="420" w:firstLineChars="0"/>
      <w:textAlignment w:val="baseline"/>
    </w:pPr>
    <w:rPr>
      <w:kern w:val="0"/>
      <w:szCs w:val="21"/>
    </w:rPr>
  </w:style>
  <w:style w:type="paragraph" w:customStyle="1" w:styleId="323">
    <w:name w:val="样式 段前: 7.8 磅 段后: 7.8 磅"/>
    <w:basedOn w:val="1"/>
    <w:qFormat/>
    <w:uiPriority w:val="0"/>
    <w:pPr>
      <w:adjustRightInd w:val="0"/>
      <w:spacing w:before="156" w:after="156" w:line="360" w:lineRule="auto"/>
      <w:ind w:firstLine="480" w:firstLineChars="200"/>
      <w:textAlignment w:val="baseline"/>
    </w:pPr>
    <w:rPr>
      <w:rFonts w:cs="宋体"/>
      <w:sz w:val="24"/>
    </w:rPr>
  </w:style>
  <w:style w:type="paragraph" w:customStyle="1" w:styleId="324">
    <w:name w:val="font7"/>
    <w:basedOn w:val="1"/>
    <w:qFormat/>
    <w:uiPriority w:val="0"/>
    <w:pPr>
      <w:adjustRightInd w:val="0"/>
      <w:spacing w:before="100" w:beforeAutospacing="1" w:after="100" w:afterAutospacing="1"/>
      <w:textAlignment w:val="baseline"/>
    </w:pPr>
    <w:rPr>
      <w:rFonts w:hint="eastAsia" w:ascii="宋体" w:hAnsi="宋体"/>
      <w:color w:val="FF0000"/>
      <w:kern w:val="0"/>
      <w:sz w:val="20"/>
      <w:szCs w:val="21"/>
    </w:rPr>
  </w:style>
  <w:style w:type="paragraph" w:customStyle="1" w:styleId="325">
    <w:name w:val="wtex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326">
    <w:name w:val="新正文"/>
    <w:basedOn w:val="1"/>
    <w:qFormat/>
    <w:uiPriority w:val="0"/>
    <w:pPr>
      <w:spacing w:after="120" w:line="360" w:lineRule="auto"/>
      <w:ind w:firstLine="200" w:firstLineChars="200"/>
    </w:pPr>
    <w:rPr>
      <w:sz w:val="24"/>
      <w:szCs w:val="24"/>
    </w:rPr>
  </w:style>
  <w:style w:type="paragraph" w:customStyle="1" w:styleId="327">
    <w:name w:val="6 Char Char Char Char Char Char Char1 Char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28">
    <w:name w:val="Char1 Char Char Char Char Char Char Char Char Char"/>
    <w:basedOn w:val="1"/>
    <w:qFormat/>
    <w:uiPriority w:val="0"/>
    <w:pPr>
      <w:widowControl/>
      <w:spacing w:beforeLines="100" w:after="160" w:line="240" w:lineRule="exact"/>
      <w:jc w:val="left"/>
    </w:pPr>
    <w:rPr>
      <w:rFonts w:ascii="Verdana" w:hAnsi="Verdana"/>
      <w:kern w:val="0"/>
      <w:sz w:val="20"/>
      <w:lang w:eastAsia="en-US"/>
    </w:rPr>
  </w:style>
  <w:style w:type="paragraph" w:customStyle="1" w:styleId="329">
    <w:name w:val="图1"/>
    <w:basedOn w:val="1"/>
    <w:next w:val="1"/>
    <w:qFormat/>
    <w:uiPriority w:val="0"/>
    <w:pPr>
      <w:tabs>
        <w:tab w:val="left" w:pos="425"/>
      </w:tabs>
      <w:spacing w:beforeLines="50" w:afterLines="100" w:line="360" w:lineRule="auto"/>
      <w:ind w:left="1105" w:hanging="748"/>
    </w:pPr>
    <w:rPr>
      <w:kern w:val="0"/>
      <w:sz w:val="24"/>
      <w:szCs w:val="24"/>
    </w:rPr>
  </w:style>
  <w:style w:type="paragraph" w:customStyle="1" w:styleId="330">
    <w:name w:val="xl29"/>
    <w:basedOn w:val="1"/>
    <w:qFormat/>
    <w:uiPriority w:val="0"/>
    <w:pPr>
      <w:pBdr>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331">
    <w:name w:val="列出段落1"/>
    <w:basedOn w:val="1"/>
    <w:link w:val="474"/>
    <w:qFormat/>
    <w:uiPriority w:val="34"/>
    <w:pPr>
      <w:ind w:firstLine="420" w:firstLineChars="200"/>
    </w:pPr>
    <w:rPr>
      <w:rFonts w:ascii="Calibri" w:hAnsi="Calibri"/>
      <w:szCs w:val="22"/>
    </w:rPr>
  </w:style>
  <w:style w:type="paragraph" w:customStyle="1" w:styleId="332">
    <w:name w:val="Char1 Char Char Char Char Char Char1"/>
    <w:basedOn w:val="1"/>
    <w:qFormat/>
    <w:uiPriority w:val="0"/>
    <w:rPr>
      <w:rFonts w:ascii="Tahoma" w:hAnsi="Tahoma"/>
      <w:sz w:val="24"/>
    </w:rPr>
  </w:style>
  <w:style w:type="paragraph" w:customStyle="1" w:styleId="333">
    <w:name w:val="样式2"/>
    <w:basedOn w:val="21"/>
    <w:qFormat/>
    <w:uiPriority w:val="0"/>
    <w:pPr>
      <w:spacing w:after="0" w:line="500" w:lineRule="exact"/>
      <w:jc w:val="center"/>
    </w:pPr>
    <w:rPr>
      <w:rFonts w:ascii="宋体" w:hAnsi="宋体"/>
      <w:b/>
      <w:kern w:val="44"/>
      <w:sz w:val="32"/>
      <w:szCs w:val="32"/>
      <w:lang w:val="en-GB"/>
    </w:rPr>
  </w:style>
  <w:style w:type="paragraph" w:customStyle="1" w:styleId="334">
    <w:name w:val="font9"/>
    <w:basedOn w:val="1"/>
    <w:qFormat/>
    <w:uiPriority w:val="0"/>
    <w:pPr>
      <w:adjustRightInd w:val="0"/>
      <w:spacing w:before="100" w:beforeAutospacing="1" w:after="100" w:afterAutospacing="1"/>
      <w:textAlignment w:val="baseline"/>
    </w:pPr>
    <w:rPr>
      <w:kern w:val="0"/>
      <w:sz w:val="20"/>
      <w:szCs w:val="21"/>
    </w:rPr>
  </w:style>
  <w:style w:type="paragraph" w:customStyle="1" w:styleId="335">
    <w:name w:val="Char Char Char1"/>
    <w:basedOn w:val="1"/>
    <w:qFormat/>
    <w:uiPriority w:val="0"/>
    <w:rPr>
      <w:rFonts w:ascii="Tahoma" w:hAnsi="Tahoma"/>
      <w:sz w:val="24"/>
    </w:rPr>
  </w:style>
  <w:style w:type="paragraph" w:customStyle="1" w:styleId="336">
    <w:name w:val="Char Char Char Char Char Char Char Char Char Char1"/>
    <w:basedOn w:val="1"/>
    <w:qFormat/>
    <w:uiPriority w:val="0"/>
    <w:rPr>
      <w:rFonts w:ascii="Tahoma" w:hAnsi="Tahoma"/>
      <w:sz w:val="24"/>
    </w:rPr>
  </w:style>
  <w:style w:type="paragraph" w:customStyle="1" w:styleId="337">
    <w:name w:val="样式 (西文) 宋体 小四 首行缩进:  2 字符1 Char Char Char Char"/>
    <w:basedOn w:val="1"/>
    <w:qFormat/>
    <w:uiPriority w:val="0"/>
    <w:pPr>
      <w:ind w:firstLine="480" w:firstLineChars="200"/>
    </w:pPr>
    <w:rPr>
      <w:rFonts w:ascii="宋体" w:hAnsi="宋体" w:cs="宋体"/>
      <w:sz w:val="24"/>
      <w:szCs w:val="24"/>
    </w:rPr>
  </w:style>
  <w:style w:type="paragraph" w:customStyle="1" w:styleId="338">
    <w:name w:val="1 Char"/>
    <w:basedOn w:val="1"/>
    <w:qFormat/>
    <w:uiPriority w:val="0"/>
    <w:pPr>
      <w:tabs>
        <w:tab w:val="left" w:pos="1571"/>
      </w:tabs>
      <w:ind w:left="1571" w:hanging="851"/>
    </w:pPr>
    <w:rPr>
      <w:sz w:val="24"/>
      <w:szCs w:val="24"/>
    </w:rPr>
  </w:style>
  <w:style w:type="paragraph" w:customStyle="1" w:styleId="339">
    <w:name w:val="Char Char2 Char Char Char Char Char Char Char"/>
    <w:basedOn w:val="1"/>
    <w:qFormat/>
    <w:uiPriority w:val="0"/>
    <w:rPr>
      <w:rFonts w:ascii="Tahoma" w:hAnsi="Tahoma"/>
      <w:sz w:val="24"/>
    </w:rPr>
  </w:style>
  <w:style w:type="paragraph" w:customStyle="1" w:styleId="340">
    <w:name w:val="默认段落字体 Para Char"/>
    <w:basedOn w:val="1"/>
    <w:qFormat/>
    <w:uiPriority w:val="0"/>
    <w:pPr>
      <w:adjustRightInd w:val="0"/>
      <w:spacing w:line="360" w:lineRule="auto"/>
    </w:pPr>
    <w:rPr>
      <w:kern w:val="0"/>
      <w:sz w:val="24"/>
    </w:rPr>
  </w:style>
  <w:style w:type="paragraph" w:customStyle="1" w:styleId="341">
    <w:name w:val="font5"/>
    <w:basedOn w:val="1"/>
    <w:qFormat/>
    <w:uiPriority w:val="0"/>
    <w:pPr>
      <w:adjustRightInd w:val="0"/>
      <w:spacing w:before="100" w:beforeAutospacing="1" w:after="100" w:afterAutospacing="1"/>
      <w:textAlignment w:val="baseline"/>
    </w:pPr>
    <w:rPr>
      <w:rFonts w:hint="eastAsia" w:ascii="宋体" w:hAnsi="宋体"/>
      <w:kern w:val="0"/>
      <w:sz w:val="18"/>
      <w:szCs w:val="18"/>
    </w:rPr>
  </w:style>
  <w:style w:type="paragraph" w:customStyle="1" w:styleId="342">
    <w:name w:val="章标题"/>
    <w:next w:val="1"/>
    <w:qFormat/>
    <w:uiPriority w:val="0"/>
    <w:pPr>
      <w:tabs>
        <w:tab w:val="left" w:pos="1145"/>
      </w:tabs>
      <w:spacing w:beforeLines="50" w:afterLines="50"/>
      <w:ind w:left="1145" w:hanging="420"/>
      <w:jc w:val="both"/>
      <w:outlineLvl w:val="1"/>
    </w:pPr>
    <w:rPr>
      <w:rFonts w:ascii="黑体" w:hAnsi="Times New Roman" w:eastAsia="黑体" w:cs="Times New Roman"/>
      <w:sz w:val="21"/>
      <w:lang w:val="en-US" w:eastAsia="zh-CN" w:bidi="ar-SA"/>
    </w:rPr>
  </w:style>
  <w:style w:type="paragraph" w:customStyle="1" w:styleId="343">
    <w:name w:val="Paragraph1"/>
    <w:basedOn w:val="1"/>
    <w:qFormat/>
    <w:uiPriority w:val="0"/>
    <w:pPr>
      <w:adjustRightInd w:val="0"/>
      <w:spacing w:before="80"/>
      <w:textAlignment w:val="baseline"/>
    </w:pPr>
    <w:rPr>
      <w:rFonts w:ascii="宋体"/>
      <w:kern w:val="0"/>
      <w:sz w:val="20"/>
      <w:szCs w:val="24"/>
    </w:rPr>
  </w:style>
  <w:style w:type="paragraph" w:customStyle="1" w:styleId="344">
    <w:name w:val="font8"/>
    <w:basedOn w:val="1"/>
    <w:qFormat/>
    <w:uiPriority w:val="0"/>
    <w:pPr>
      <w:adjustRightInd w:val="0"/>
      <w:spacing w:before="100" w:beforeAutospacing="1" w:after="100" w:afterAutospacing="1"/>
      <w:textAlignment w:val="baseline"/>
    </w:pPr>
    <w:rPr>
      <w:color w:val="FF0000"/>
      <w:kern w:val="0"/>
      <w:sz w:val="20"/>
      <w:szCs w:val="21"/>
    </w:rPr>
  </w:style>
  <w:style w:type="paragraph" w:customStyle="1" w:styleId="345">
    <w:name w:val="xl8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346">
    <w:name w:val="Noident"/>
    <w:basedOn w:val="1"/>
    <w:qFormat/>
    <w:uiPriority w:val="0"/>
    <w:pPr>
      <w:widowControl/>
      <w:spacing w:line="300" w:lineRule="auto"/>
    </w:pPr>
    <w:rPr>
      <w:sz w:val="24"/>
    </w:rPr>
  </w:style>
  <w:style w:type="paragraph" w:customStyle="1" w:styleId="34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4"/>
      <w:szCs w:val="24"/>
    </w:rPr>
  </w:style>
  <w:style w:type="paragraph" w:customStyle="1" w:styleId="348">
    <w:name w:val="xl26"/>
    <w:basedOn w:val="1"/>
    <w:qFormat/>
    <w:uiPriority w:val="0"/>
    <w:pPr>
      <w:pBdr>
        <w:top w:val="double" w:color="auto" w:sz="6" w:space="0"/>
        <w:left w:val="single" w:color="auto" w:sz="4" w:space="0"/>
        <w:bottom w:val="double" w:color="auto" w:sz="6" w:space="0"/>
        <w:right w:val="double" w:color="auto" w:sz="6" w:space="0"/>
      </w:pBdr>
      <w:shd w:val="clear" w:color="auto" w:fill="FFFF99"/>
      <w:adjustRightInd w:val="0"/>
      <w:spacing w:before="100" w:beforeAutospacing="1" w:after="100" w:afterAutospacing="1"/>
      <w:jc w:val="center"/>
      <w:textAlignment w:val="baseline"/>
    </w:pPr>
    <w:rPr>
      <w:rFonts w:ascii="宋体" w:hAnsi="宋体"/>
      <w:b/>
      <w:bCs/>
      <w:kern w:val="0"/>
      <w:szCs w:val="24"/>
    </w:rPr>
  </w:style>
  <w:style w:type="paragraph" w:customStyle="1" w:styleId="349">
    <w:name w:val="样式 标题 5 + 小四"/>
    <w:basedOn w:val="7"/>
    <w:qFormat/>
    <w:uiPriority w:val="0"/>
    <w:pPr>
      <w:numPr>
        <w:ilvl w:val="0"/>
        <w:numId w:val="0"/>
      </w:numPr>
      <w:spacing w:before="0" w:after="0" w:line="360" w:lineRule="auto"/>
      <w:ind w:left="2072" w:hanging="992"/>
    </w:pPr>
    <w:rPr>
      <w:rFonts w:ascii="宋体" w:hAnsi="宋体"/>
      <w:b w:val="0"/>
      <w:szCs w:val="28"/>
    </w:rPr>
  </w:style>
  <w:style w:type="paragraph" w:customStyle="1" w:styleId="350">
    <w:name w:val="数字标题2"/>
    <w:basedOn w:val="3"/>
    <w:next w:val="1"/>
    <w:qFormat/>
    <w:uiPriority w:val="0"/>
    <w:pPr>
      <w:numPr>
        <w:ilvl w:val="0"/>
        <w:numId w:val="0"/>
      </w:numPr>
      <w:spacing w:before="0" w:after="0" w:line="416" w:lineRule="auto"/>
      <w:jc w:val="both"/>
    </w:pPr>
    <w:rPr>
      <w:rFonts w:ascii="宋体" w:hAnsi="宋体"/>
      <w:bCs/>
      <w:sz w:val="24"/>
      <w:szCs w:val="24"/>
    </w:rPr>
  </w:style>
  <w:style w:type="paragraph" w:customStyle="1" w:styleId="351">
    <w:name w:val="Table Text Char Char Char Char Char Char1"/>
    <w:qFormat/>
    <w:uiPriority w:val="0"/>
    <w:pPr>
      <w:snapToGrid w:val="0"/>
      <w:spacing w:before="80" w:after="80"/>
    </w:pPr>
    <w:rPr>
      <w:rFonts w:ascii="Arial" w:hAnsi="Arial" w:eastAsia="宋体" w:cs="Arial"/>
      <w:sz w:val="18"/>
      <w:szCs w:val="21"/>
      <w:lang w:val="en-US" w:eastAsia="zh-CN" w:bidi="ar-SA"/>
    </w:rPr>
  </w:style>
  <w:style w:type="paragraph" w:customStyle="1" w:styleId="35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53">
    <w:name w:val="序号正文"/>
    <w:basedOn w:val="1"/>
    <w:qFormat/>
    <w:uiPriority w:val="0"/>
    <w:pPr>
      <w:numPr>
        <w:ilvl w:val="0"/>
        <w:numId w:val="8"/>
      </w:numPr>
      <w:tabs>
        <w:tab w:val="left" w:pos="420"/>
      </w:tabs>
      <w:spacing w:beforeLines="50" w:afterLines="50" w:line="300" w:lineRule="auto"/>
    </w:pPr>
    <w:rPr>
      <w:sz w:val="24"/>
      <w:szCs w:val="21"/>
    </w:rPr>
  </w:style>
  <w:style w:type="paragraph" w:customStyle="1" w:styleId="354">
    <w:name w:val="正文1级项目符号"/>
    <w:basedOn w:val="21"/>
    <w:qFormat/>
    <w:uiPriority w:val="0"/>
    <w:pPr>
      <w:adjustRightInd w:val="0"/>
      <w:spacing w:before="120" w:line="360" w:lineRule="exact"/>
      <w:textAlignment w:val="baseline"/>
    </w:pPr>
    <w:rPr>
      <w:kern w:val="0"/>
      <w:szCs w:val="21"/>
    </w:rPr>
  </w:style>
  <w:style w:type="paragraph" w:customStyle="1" w:styleId="355">
    <w:name w:val="Char2 Char Char Char"/>
    <w:basedOn w:val="1"/>
    <w:qFormat/>
    <w:uiPriority w:val="0"/>
    <w:rPr>
      <w:rFonts w:ascii="Tahoma" w:hAnsi="Tahoma"/>
      <w:sz w:val="24"/>
    </w:rPr>
  </w:style>
  <w:style w:type="paragraph" w:customStyle="1" w:styleId="356">
    <w:name w:val="Char Char1 Char Char2 Char Char1"/>
    <w:basedOn w:val="1"/>
    <w:qFormat/>
    <w:uiPriority w:val="0"/>
    <w:pPr>
      <w:widowControl/>
      <w:spacing w:after="160" w:line="240" w:lineRule="exact"/>
      <w:jc w:val="left"/>
    </w:pPr>
    <w:rPr>
      <w:rFonts w:ascii="Verdana" w:hAnsi="Verdana" w:eastAsia="方正仿宋简体"/>
      <w:kern w:val="0"/>
      <w:sz w:val="20"/>
      <w:lang w:eastAsia="en-US"/>
    </w:rPr>
  </w:style>
  <w:style w:type="paragraph" w:customStyle="1" w:styleId="357">
    <w:name w:val="文档类别"/>
    <w:basedOn w:val="1"/>
    <w:qFormat/>
    <w:locked/>
    <w:uiPriority w:val="0"/>
    <w:pPr>
      <w:jc w:val="center"/>
    </w:pPr>
    <w:rPr>
      <w:rFonts w:eastAsia="黑体" w:cs="宋体"/>
      <w:bCs/>
      <w:sz w:val="30"/>
    </w:rPr>
  </w:style>
  <w:style w:type="paragraph" w:customStyle="1" w:styleId="358">
    <w:name w:val="xl31"/>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59">
    <w:name w:val="xl75"/>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color w:val="0000FF"/>
      <w:kern w:val="0"/>
      <w:sz w:val="24"/>
      <w:szCs w:val="24"/>
    </w:rPr>
  </w:style>
  <w:style w:type="paragraph" w:customStyle="1" w:styleId="360">
    <w:name w:val="xl33"/>
    <w:basedOn w:val="1"/>
    <w:qFormat/>
    <w:uiPriority w:val="0"/>
    <w:pPr>
      <w:pBdr>
        <w:top w:val="single" w:color="auto" w:sz="4" w:space="0"/>
        <w:left w:val="single" w:color="auto" w:sz="4" w:space="0"/>
        <w:bottom w:val="single" w:color="auto" w:sz="4" w:space="0"/>
        <w:right w:val="double" w:color="auto" w:sz="6" w:space="0"/>
      </w:pBdr>
      <w:adjustRightInd w:val="0"/>
      <w:spacing w:before="100" w:beforeAutospacing="1" w:after="100" w:afterAutospacing="1"/>
      <w:textAlignment w:val="baseline"/>
    </w:pPr>
    <w:rPr>
      <w:rFonts w:ascii="宋体" w:hAnsi="宋体"/>
      <w:kern w:val="0"/>
      <w:sz w:val="20"/>
      <w:szCs w:val="21"/>
    </w:rPr>
  </w:style>
  <w:style w:type="paragraph" w:customStyle="1" w:styleId="361">
    <w:name w:val="数字标题6"/>
    <w:basedOn w:val="8"/>
    <w:next w:val="1"/>
    <w:qFormat/>
    <w:uiPriority w:val="0"/>
    <w:pPr>
      <w:numPr>
        <w:ilvl w:val="0"/>
        <w:numId w:val="0"/>
      </w:numPr>
      <w:spacing w:line="320" w:lineRule="auto"/>
      <w:ind w:left="3002" w:hanging="420"/>
    </w:pPr>
    <w:rPr>
      <w:rFonts w:ascii="Times New Roman" w:hAnsi="Times New Roman" w:eastAsia="宋体"/>
      <w:bCs/>
      <w:i/>
      <w:szCs w:val="24"/>
    </w:rPr>
  </w:style>
  <w:style w:type="paragraph" w:customStyle="1" w:styleId="362">
    <w:name w:val="Char Char Char Char Char Char Char Char Char Char Char Char Char Char Char Char Char Char Char Char Char Char1"/>
    <w:basedOn w:val="1"/>
    <w:qFormat/>
    <w:uiPriority w:val="0"/>
    <w:rPr>
      <w:rFonts w:ascii="Tahoma" w:hAnsi="Tahoma"/>
      <w:sz w:val="24"/>
    </w:rPr>
  </w:style>
  <w:style w:type="paragraph" w:customStyle="1" w:styleId="363">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4">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36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4"/>
      <w:szCs w:val="24"/>
    </w:rPr>
  </w:style>
  <w:style w:type="paragraph" w:customStyle="1" w:styleId="366">
    <w:name w:val="样式 标题 3 + 段前: 0 磅 段后: 0 磅 行距: 单倍行距"/>
    <w:basedOn w:val="4"/>
    <w:next w:val="1"/>
    <w:qFormat/>
    <w:uiPriority w:val="0"/>
    <w:pPr>
      <w:keepLines w:val="0"/>
      <w:spacing w:before="0" w:after="0" w:line="240" w:lineRule="auto"/>
      <w:ind w:left="360"/>
    </w:pPr>
    <w:rPr>
      <w:rFonts w:ascii="宋体" w:hAnsi="宋体"/>
      <w:bCs/>
      <w:sz w:val="30"/>
      <w:szCs w:val="32"/>
    </w:rPr>
  </w:style>
  <w:style w:type="paragraph" w:customStyle="1" w:styleId="367">
    <w:name w:val="xl80"/>
    <w:basedOn w:val="1"/>
    <w:qFormat/>
    <w:uiPriority w:val="0"/>
    <w:pPr>
      <w:widowControl/>
      <w:pBdr>
        <w:top w:val="single" w:color="auto" w:sz="12"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36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FF"/>
      <w:kern w:val="0"/>
      <w:sz w:val="24"/>
      <w:szCs w:val="24"/>
    </w:rPr>
  </w:style>
  <w:style w:type="paragraph" w:customStyle="1" w:styleId="369">
    <w:name w:val="加点正文缩进"/>
    <w:basedOn w:val="1"/>
    <w:qFormat/>
    <w:uiPriority w:val="0"/>
    <w:pPr>
      <w:numPr>
        <w:ilvl w:val="0"/>
        <w:numId w:val="9"/>
      </w:numPr>
      <w:tabs>
        <w:tab w:val="left" w:pos="840"/>
      </w:tabs>
      <w:spacing w:beforeLines="50" w:afterLines="50" w:line="300" w:lineRule="auto"/>
    </w:pPr>
    <w:rPr>
      <w:sz w:val="24"/>
      <w:szCs w:val="24"/>
    </w:rPr>
  </w:style>
  <w:style w:type="paragraph" w:customStyle="1" w:styleId="370">
    <w:name w:val="正文1级编号"/>
    <w:basedOn w:val="21"/>
    <w:qFormat/>
    <w:uiPriority w:val="0"/>
    <w:pPr>
      <w:tabs>
        <w:tab w:val="left" w:pos="420"/>
        <w:tab w:val="left" w:pos="1474"/>
      </w:tabs>
      <w:adjustRightInd w:val="0"/>
      <w:snapToGrid w:val="0"/>
      <w:spacing w:before="120" w:line="360" w:lineRule="exact"/>
      <w:ind w:left="420" w:hanging="420"/>
      <w:textAlignment w:val="baseline"/>
    </w:pPr>
    <w:rPr>
      <w:kern w:val="0"/>
      <w:szCs w:val="21"/>
    </w:rPr>
  </w:style>
  <w:style w:type="paragraph" w:customStyle="1" w:styleId="371">
    <w:name w:val="样式 标题 1 + 小二 非加粗"/>
    <w:basedOn w:val="2"/>
    <w:qFormat/>
    <w:uiPriority w:val="0"/>
    <w:pPr>
      <w:numPr>
        <w:numId w:val="0"/>
      </w:numPr>
      <w:spacing w:line="578" w:lineRule="auto"/>
      <w:ind w:left="425" w:hanging="425"/>
      <w:jc w:val="both"/>
    </w:pPr>
    <w:rPr>
      <w:rFonts w:eastAsia="宋体"/>
      <w:szCs w:val="44"/>
    </w:rPr>
  </w:style>
  <w:style w:type="paragraph" w:customStyle="1" w:styleId="372">
    <w:name w:val="xl101"/>
    <w:basedOn w:val="1"/>
    <w:qFormat/>
    <w:uiPriority w:val="0"/>
    <w:pPr>
      <w:widowControl/>
      <w:pBdr>
        <w:top w:val="single" w:color="auto" w:sz="4" w:space="0"/>
        <w:left w:val="single" w:color="auto" w:sz="12" w:space="0"/>
        <w:bottom w:val="single" w:color="auto" w:sz="4" w:space="0"/>
        <w:right w:val="single" w:color="auto" w:sz="4" w:space="0"/>
      </w:pBdr>
      <w:shd w:val="clear" w:color="000000" w:fill="D8D8D8"/>
      <w:spacing w:before="100" w:beforeAutospacing="1" w:after="100" w:afterAutospacing="1"/>
      <w:jc w:val="center"/>
      <w:textAlignment w:val="center"/>
    </w:pPr>
    <w:rPr>
      <w:rFonts w:ascii="宋体" w:hAnsi="宋体" w:cs="宋体"/>
      <w:color w:val="000000"/>
      <w:kern w:val="0"/>
      <w:sz w:val="24"/>
      <w:szCs w:val="24"/>
    </w:rPr>
  </w:style>
  <w:style w:type="paragraph" w:customStyle="1" w:styleId="373">
    <w:name w:val="xl93"/>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374">
    <w:name w:val="正文居中"/>
    <w:basedOn w:val="1"/>
    <w:qFormat/>
    <w:uiPriority w:val="0"/>
    <w:pPr>
      <w:spacing w:beforeLines="50" w:afterLines="50" w:line="300" w:lineRule="auto"/>
      <w:jc w:val="center"/>
    </w:pPr>
    <w:rPr>
      <w:sz w:val="24"/>
      <w:szCs w:val="24"/>
    </w:rPr>
  </w:style>
  <w:style w:type="paragraph" w:customStyle="1" w:styleId="375">
    <w:name w:val="Char Char Char Char Char Char Char Char Char1 Char Char Char Char Char Char Char Char Char Char"/>
    <w:basedOn w:val="1"/>
    <w:qFormat/>
    <w:uiPriority w:val="0"/>
    <w:pPr>
      <w:widowControl/>
      <w:adjustRightInd w:val="0"/>
      <w:spacing w:after="160" w:line="240" w:lineRule="exact"/>
      <w:jc w:val="left"/>
      <w:textAlignment w:val="baseline"/>
    </w:pPr>
    <w:rPr>
      <w:rFonts w:ascii="Verdana" w:hAnsi="Verdana" w:eastAsia="仿宋_GB2312"/>
      <w:kern w:val="0"/>
      <w:sz w:val="28"/>
      <w:lang w:eastAsia="en-US"/>
    </w:rPr>
  </w:style>
  <w:style w:type="paragraph" w:customStyle="1" w:styleId="376">
    <w:name w:val="图题2"/>
    <w:basedOn w:val="275"/>
    <w:next w:val="1"/>
    <w:qFormat/>
    <w:uiPriority w:val="0"/>
    <w:pPr>
      <w:numPr>
        <w:ilvl w:val="1"/>
        <w:numId w:val="10"/>
      </w:numPr>
      <w:tabs>
        <w:tab w:val="left" w:pos="720"/>
      </w:tabs>
      <w:snapToGrid/>
    </w:pPr>
  </w:style>
  <w:style w:type="paragraph" w:customStyle="1" w:styleId="377">
    <w:name w:val="Char2 Char Char Char1"/>
    <w:basedOn w:val="1"/>
    <w:qFormat/>
    <w:uiPriority w:val="0"/>
    <w:rPr>
      <w:rFonts w:ascii="Tahoma" w:hAnsi="Tahoma"/>
      <w:sz w:val="24"/>
    </w:rPr>
  </w:style>
  <w:style w:type="paragraph" w:customStyle="1" w:styleId="37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FF"/>
      <w:kern w:val="0"/>
      <w:sz w:val="24"/>
      <w:szCs w:val="24"/>
    </w:rPr>
  </w:style>
  <w:style w:type="paragraph" w:customStyle="1" w:styleId="379">
    <w:name w:val="xl25"/>
    <w:basedOn w:val="1"/>
    <w:qFormat/>
    <w:uiPriority w:val="0"/>
    <w:pPr>
      <w:pBdr>
        <w:top w:val="double" w:color="auto" w:sz="6" w:space="0"/>
        <w:left w:val="single" w:color="auto" w:sz="4" w:space="0"/>
        <w:bottom w:val="double" w:color="auto" w:sz="6" w:space="0"/>
        <w:right w:val="single" w:color="auto" w:sz="4" w:space="0"/>
      </w:pBdr>
      <w:shd w:val="clear" w:color="auto" w:fill="FFFF99"/>
      <w:adjustRightInd w:val="0"/>
      <w:spacing w:before="100" w:beforeAutospacing="1" w:after="100" w:afterAutospacing="1"/>
      <w:jc w:val="center"/>
      <w:textAlignment w:val="baseline"/>
    </w:pPr>
    <w:rPr>
      <w:rFonts w:ascii="宋体" w:hAnsi="宋体"/>
      <w:b/>
      <w:bCs/>
      <w:kern w:val="0"/>
      <w:szCs w:val="24"/>
    </w:rPr>
  </w:style>
  <w:style w:type="paragraph" w:customStyle="1" w:styleId="380">
    <w:name w:val="xl36"/>
    <w:basedOn w:val="1"/>
    <w:qFormat/>
    <w:uiPriority w:val="0"/>
    <w:pPr>
      <w:pBdr>
        <w:bottom w:val="single" w:color="auto" w:sz="4" w:space="0"/>
        <w:right w:val="single" w:color="auto" w:sz="4" w:space="0"/>
      </w:pBdr>
      <w:shd w:val="clear" w:color="auto" w:fill="FFFF99"/>
      <w:adjustRightInd w:val="0"/>
      <w:spacing w:before="100" w:beforeAutospacing="1" w:after="100" w:afterAutospacing="1"/>
      <w:textAlignment w:val="baseline"/>
    </w:pPr>
    <w:rPr>
      <w:rFonts w:ascii="宋体" w:hAnsi="宋体"/>
      <w:color w:val="008000"/>
      <w:kern w:val="0"/>
      <w:sz w:val="20"/>
      <w:szCs w:val="21"/>
    </w:rPr>
  </w:style>
  <w:style w:type="paragraph" w:customStyle="1" w:styleId="381">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82">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383">
    <w:name w:val="标题小四"/>
    <w:basedOn w:val="3"/>
    <w:qFormat/>
    <w:uiPriority w:val="0"/>
    <w:pPr>
      <w:keepNext w:val="0"/>
      <w:keepLines w:val="0"/>
      <w:numPr>
        <w:ilvl w:val="0"/>
        <w:numId w:val="0"/>
      </w:numPr>
      <w:spacing w:before="0" w:after="0" w:line="360" w:lineRule="auto"/>
      <w:ind w:right="90"/>
      <w:jc w:val="both"/>
      <w:outlineLvl w:val="9"/>
    </w:pPr>
    <w:rPr>
      <w:rFonts w:ascii="仿宋_GB2312" w:hAnsi="宋体" w:eastAsia="仿宋_GB2312" w:cs="Arial Unicode MS"/>
      <w:b w:val="0"/>
      <w:color w:val="000000"/>
      <w:sz w:val="21"/>
      <w:szCs w:val="21"/>
    </w:rPr>
  </w:style>
  <w:style w:type="paragraph" w:customStyle="1" w:styleId="384">
    <w:name w:val="Char Char1 Char Char Char1"/>
    <w:basedOn w:val="17"/>
    <w:qFormat/>
    <w:uiPriority w:val="0"/>
    <w:rPr>
      <w:rFonts w:ascii="Tahoma" w:hAnsi="Tahoma"/>
      <w:sz w:val="24"/>
      <w:szCs w:val="24"/>
    </w:rPr>
  </w:style>
  <w:style w:type="paragraph" w:customStyle="1" w:styleId="385">
    <w:name w:val="标题 4 + 小三"/>
    <w:basedOn w:val="4"/>
    <w:qFormat/>
    <w:uiPriority w:val="0"/>
    <w:pPr>
      <w:spacing w:before="0" w:after="0" w:line="400" w:lineRule="exact"/>
      <w:ind w:left="1260" w:hanging="420"/>
      <w:outlineLvl w:val="3"/>
    </w:pPr>
    <w:rPr>
      <w:bCs/>
      <w:sz w:val="28"/>
      <w:szCs w:val="28"/>
    </w:rPr>
  </w:style>
  <w:style w:type="paragraph" w:customStyle="1" w:styleId="386">
    <w:name w:val="9001"/>
    <w:basedOn w:val="1"/>
    <w:qFormat/>
    <w:uiPriority w:val="0"/>
    <w:pPr>
      <w:tabs>
        <w:tab w:val="left" w:pos="885"/>
      </w:tabs>
      <w:adjustRightInd w:val="0"/>
      <w:spacing w:before="40" w:after="40" w:line="360" w:lineRule="auto"/>
      <w:ind w:left="885" w:right="210" w:hanging="360"/>
      <w:textAlignment w:val="baseline"/>
    </w:pPr>
    <w:rPr>
      <w:szCs w:val="21"/>
    </w:rPr>
  </w:style>
  <w:style w:type="paragraph" w:customStyle="1" w:styleId="387">
    <w:name w:val="正文要求，小四"/>
    <w:basedOn w:val="1"/>
    <w:qFormat/>
    <w:uiPriority w:val="0"/>
    <w:pPr>
      <w:numPr>
        <w:ilvl w:val="0"/>
        <w:numId w:val="11"/>
      </w:numPr>
      <w:spacing w:line="360" w:lineRule="auto"/>
    </w:pPr>
    <w:rPr>
      <w:rFonts w:ascii="宋体" w:hAnsi="宋体"/>
      <w:sz w:val="24"/>
      <w:szCs w:val="24"/>
    </w:rPr>
  </w:style>
  <w:style w:type="paragraph" w:customStyle="1" w:styleId="388">
    <w:name w:val="È±Ê¡ÎÄ±¾"/>
    <w:basedOn w:val="1"/>
    <w:qFormat/>
    <w:uiPriority w:val="0"/>
    <w:pPr>
      <w:widowControl/>
      <w:overflowPunct w:val="0"/>
      <w:autoSpaceDE w:val="0"/>
      <w:autoSpaceDN w:val="0"/>
      <w:adjustRightInd w:val="0"/>
      <w:spacing w:line="360" w:lineRule="auto"/>
      <w:textAlignment w:val="baseline"/>
    </w:pPr>
    <w:rPr>
      <w:kern w:val="0"/>
    </w:rPr>
  </w:style>
  <w:style w:type="paragraph" w:customStyle="1" w:styleId="389">
    <w:name w:val="Char Char2 Char Char Char Char Char Char Char1"/>
    <w:basedOn w:val="1"/>
    <w:qFormat/>
    <w:uiPriority w:val="0"/>
    <w:rPr>
      <w:rFonts w:ascii="Tahoma" w:hAnsi="Tahoma"/>
      <w:sz w:val="24"/>
    </w:rPr>
  </w:style>
  <w:style w:type="paragraph" w:customStyle="1" w:styleId="390">
    <w:name w:val="Char3 Char Char Char1"/>
    <w:basedOn w:val="1"/>
    <w:qFormat/>
    <w:uiPriority w:val="0"/>
    <w:rPr>
      <w:rFonts w:ascii="Tahoma" w:hAnsi="Tahoma"/>
      <w:sz w:val="24"/>
    </w:rPr>
  </w:style>
  <w:style w:type="paragraph" w:customStyle="1" w:styleId="391">
    <w:name w:val="Table Text"/>
    <w:qFormat/>
    <w:uiPriority w:val="0"/>
    <w:pPr>
      <w:snapToGrid w:val="0"/>
      <w:spacing w:before="80" w:after="80"/>
    </w:pPr>
    <w:rPr>
      <w:rFonts w:ascii="Arial" w:hAnsi="Arial" w:eastAsia="宋体" w:cs="Times New Roman"/>
      <w:sz w:val="18"/>
      <w:lang w:val="en-US" w:eastAsia="en-US" w:bidi="ar-SA"/>
    </w:rPr>
  </w:style>
  <w:style w:type="paragraph" w:customStyle="1" w:styleId="392">
    <w:name w:val="xl28"/>
    <w:basedOn w:val="1"/>
    <w:qFormat/>
    <w:uiPriority w:val="0"/>
    <w:pPr>
      <w:pBdr>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393">
    <w:name w:val="样式 正文文字缩进 + 左侧:  0.75 厘米 首行缩进:  1.12 厘米"/>
    <w:basedOn w:val="23"/>
    <w:qFormat/>
    <w:uiPriority w:val="0"/>
    <w:pPr>
      <w:adjustRightInd w:val="0"/>
      <w:spacing w:line="300" w:lineRule="auto"/>
      <w:ind w:firstLine="200" w:firstLineChars="200"/>
      <w:textAlignment w:val="baseline"/>
    </w:pPr>
    <w:rPr>
      <w:rFonts w:ascii="Times New Roman" w:hAnsi="Times New Roman"/>
      <w:sz w:val="21"/>
      <w:szCs w:val="21"/>
    </w:rPr>
  </w:style>
  <w:style w:type="paragraph" w:customStyle="1" w:styleId="394">
    <w:name w:val="样式 正文首行缩进 + 首行缩进:  1 字符2"/>
    <w:basedOn w:val="52"/>
    <w:qFormat/>
    <w:uiPriority w:val="0"/>
    <w:pPr>
      <w:adjustRightInd w:val="0"/>
      <w:spacing w:after="0" w:line="300" w:lineRule="auto"/>
      <w:ind w:firstLine="200" w:firstLineChars="200"/>
      <w:textAlignment w:val="baseline"/>
    </w:pPr>
    <w:rPr>
      <w:rFonts w:cs="宋体"/>
      <w:kern w:val="0"/>
      <w:szCs w:val="21"/>
    </w:rPr>
  </w:style>
  <w:style w:type="paragraph" w:customStyle="1" w:styleId="395">
    <w:name w:val="表格正文"/>
    <w:basedOn w:val="1"/>
    <w:qFormat/>
    <w:uiPriority w:val="0"/>
    <w:pPr>
      <w:spacing w:beforeLines="50"/>
    </w:pPr>
    <w:rPr>
      <w:rFonts w:ascii="Arial" w:hAnsi="Arial"/>
    </w:rPr>
  </w:style>
  <w:style w:type="paragraph" w:customStyle="1" w:styleId="396">
    <w:name w:val="xl9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397">
    <w:name w:val="样式 小四 左侧:  2.86 厘米 首行缩进:  2 字符"/>
    <w:basedOn w:val="1"/>
    <w:qFormat/>
    <w:uiPriority w:val="0"/>
    <w:pPr>
      <w:ind w:firstLine="480" w:firstLineChars="200"/>
    </w:pPr>
    <w:rPr>
      <w:rFonts w:cs="宋体"/>
      <w:sz w:val="24"/>
      <w:szCs w:val="24"/>
    </w:rPr>
  </w:style>
  <w:style w:type="paragraph" w:customStyle="1" w:styleId="398">
    <w:name w:val="数字标题4"/>
    <w:basedOn w:val="5"/>
    <w:qFormat/>
    <w:uiPriority w:val="0"/>
    <w:pPr>
      <w:numPr>
        <w:ilvl w:val="4"/>
        <w:numId w:val="5"/>
      </w:numPr>
      <w:tabs>
        <w:tab w:val="left" w:pos="2520"/>
        <w:tab w:val="clear" w:pos="425"/>
      </w:tabs>
      <w:spacing w:before="0" w:line="376" w:lineRule="auto"/>
      <w:ind w:left="0" w:firstLine="0"/>
    </w:pPr>
    <w:rPr>
      <w:rFonts w:hAnsi="宋体"/>
      <w:bCs/>
      <w:sz w:val="24"/>
      <w:szCs w:val="24"/>
    </w:rPr>
  </w:style>
  <w:style w:type="paragraph" w:customStyle="1" w:styleId="399">
    <w:name w:val="xl10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00">
    <w:name w:val="xl92"/>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right"/>
      <w:textAlignment w:val="center"/>
    </w:pPr>
    <w:rPr>
      <w:rFonts w:ascii="宋体" w:hAnsi="宋体" w:cs="宋体"/>
      <w:kern w:val="0"/>
      <w:sz w:val="24"/>
      <w:szCs w:val="24"/>
    </w:rPr>
  </w:style>
  <w:style w:type="paragraph" w:customStyle="1" w:styleId="401">
    <w:name w:val="序号正文缩进"/>
    <w:basedOn w:val="353"/>
    <w:qFormat/>
    <w:uiPriority w:val="0"/>
    <w:pPr>
      <w:numPr>
        <w:ilvl w:val="0"/>
        <w:numId w:val="12"/>
      </w:numPr>
      <w:tabs>
        <w:tab w:val="left" w:pos="240"/>
        <w:tab w:val="left" w:pos="978"/>
        <w:tab w:val="left" w:pos="1120"/>
      </w:tabs>
      <w:adjustRightInd w:val="0"/>
      <w:snapToGrid w:val="0"/>
      <w:jc w:val="left"/>
    </w:pPr>
  </w:style>
  <w:style w:type="paragraph" w:customStyle="1" w:styleId="402">
    <w:name w:val="Table Heading Char"/>
    <w:qFormat/>
    <w:uiPriority w:val="0"/>
    <w:pPr>
      <w:snapToGrid w:val="0"/>
      <w:jc w:val="center"/>
    </w:pPr>
    <w:rPr>
      <w:rFonts w:ascii="Arial" w:hAnsi="Arial" w:eastAsia="黑体" w:cs="Times New Roman"/>
      <w:sz w:val="18"/>
      <w:lang w:val="en-US" w:eastAsia="zh-CN" w:bidi="ar-SA"/>
    </w:rPr>
  </w:style>
  <w:style w:type="paragraph" w:customStyle="1" w:styleId="403">
    <w:name w:val="数字标题3"/>
    <w:basedOn w:val="4"/>
    <w:next w:val="1"/>
    <w:qFormat/>
    <w:uiPriority w:val="0"/>
    <w:pPr>
      <w:spacing w:before="0" w:after="0" w:line="360" w:lineRule="auto"/>
      <w:ind w:firstLine="422" w:firstLineChars="200"/>
    </w:pPr>
    <w:rPr>
      <w:rFonts w:ascii="宋体" w:hAnsi="宋体"/>
      <w:bCs/>
      <w:sz w:val="21"/>
      <w:szCs w:val="21"/>
    </w:rPr>
  </w:style>
  <w:style w:type="paragraph" w:customStyle="1" w:styleId="404">
    <w:name w:val="封面标题"/>
    <w:basedOn w:val="1"/>
    <w:qFormat/>
    <w:uiPriority w:val="0"/>
    <w:pPr>
      <w:adjustRightInd w:val="0"/>
      <w:snapToGrid w:val="0"/>
      <w:spacing w:line="360" w:lineRule="auto"/>
      <w:jc w:val="center"/>
      <w:textAlignment w:val="baseline"/>
    </w:pPr>
    <w:rPr>
      <w:rFonts w:eastAsia="黑体"/>
      <w:kern w:val="0"/>
      <w:sz w:val="52"/>
      <w:szCs w:val="21"/>
    </w:rPr>
  </w:style>
  <w:style w:type="paragraph" w:customStyle="1" w:styleId="40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06">
    <w:name w:val="标题 9 + 小四"/>
    <w:basedOn w:val="11"/>
    <w:qFormat/>
    <w:uiPriority w:val="0"/>
    <w:pPr>
      <w:numPr>
        <w:ilvl w:val="0"/>
        <w:numId w:val="0"/>
      </w:numPr>
      <w:spacing w:line="320" w:lineRule="auto"/>
      <w:ind w:left="359" w:leftChars="171" w:hanging="420"/>
    </w:pPr>
    <w:rPr>
      <w:sz w:val="24"/>
      <w:szCs w:val="24"/>
    </w:rPr>
  </w:style>
  <w:style w:type="paragraph" w:customStyle="1" w:styleId="407">
    <w:name w:val="正文 + 宋体"/>
    <w:basedOn w:val="1"/>
    <w:qFormat/>
    <w:uiPriority w:val="0"/>
    <w:pPr>
      <w:ind w:firstLine="418" w:firstLineChars="174"/>
      <w:jc w:val="left"/>
    </w:pPr>
    <w:rPr>
      <w:sz w:val="24"/>
      <w:szCs w:val="24"/>
    </w:rPr>
  </w:style>
  <w:style w:type="paragraph" w:customStyle="1" w:styleId="408">
    <w:name w:val="Char1 Char Char1"/>
    <w:basedOn w:val="1"/>
    <w:qFormat/>
    <w:uiPriority w:val="0"/>
    <w:rPr>
      <w:rFonts w:ascii="Tahoma" w:hAnsi="Tahoma"/>
      <w:sz w:val="24"/>
    </w:rPr>
  </w:style>
  <w:style w:type="paragraph" w:customStyle="1" w:styleId="409">
    <w:name w:val="文档标题"/>
    <w:basedOn w:val="1"/>
    <w:qFormat/>
    <w:uiPriority w:val="0"/>
    <w:pPr>
      <w:tabs>
        <w:tab w:val="left" w:pos="0"/>
      </w:tabs>
      <w:autoSpaceDE w:val="0"/>
      <w:autoSpaceDN w:val="0"/>
      <w:adjustRightInd w:val="0"/>
      <w:spacing w:before="300" w:after="300" w:line="360" w:lineRule="auto"/>
      <w:jc w:val="center"/>
    </w:pPr>
    <w:rPr>
      <w:rFonts w:ascii="Arial" w:hAnsi="Arial" w:eastAsia="黑体"/>
      <w:kern w:val="0"/>
      <w:sz w:val="36"/>
      <w:szCs w:val="36"/>
    </w:rPr>
  </w:style>
  <w:style w:type="paragraph" w:customStyle="1" w:styleId="410">
    <w:name w:val="表格标题"/>
    <w:basedOn w:val="1"/>
    <w:next w:val="1"/>
    <w:qFormat/>
    <w:uiPriority w:val="0"/>
    <w:pPr>
      <w:tabs>
        <w:tab w:val="left" w:pos="420"/>
      </w:tabs>
      <w:jc w:val="center"/>
    </w:pPr>
    <w:rPr>
      <w:rFonts w:ascii="宋体"/>
      <w:b/>
      <w:sz w:val="24"/>
    </w:rPr>
  </w:style>
  <w:style w:type="paragraph" w:customStyle="1" w:styleId="411">
    <w:name w:val="Char Char Char Char Char Char Char1"/>
    <w:basedOn w:val="1"/>
    <w:qFormat/>
    <w:uiPriority w:val="0"/>
    <w:rPr>
      <w:rFonts w:ascii="Tahoma" w:hAnsi="Tahoma"/>
      <w:sz w:val="24"/>
    </w:rPr>
  </w:style>
  <w:style w:type="paragraph" w:customStyle="1" w:styleId="412">
    <w:name w:val="xl96"/>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13">
    <w:name w:val="Char1 Char Char Char Char Char Char Char Char Char Char Char"/>
    <w:basedOn w:val="1"/>
    <w:qFormat/>
    <w:uiPriority w:val="0"/>
    <w:rPr>
      <w:rFonts w:ascii="Tahoma" w:hAnsi="Tahoma"/>
      <w:sz w:val="24"/>
    </w:rPr>
  </w:style>
  <w:style w:type="paragraph" w:customStyle="1" w:styleId="414">
    <w:name w:val="样式 标题 4 + 小四"/>
    <w:basedOn w:val="5"/>
    <w:qFormat/>
    <w:uiPriority w:val="0"/>
    <w:pPr>
      <w:keepNext w:val="0"/>
      <w:keepLines w:val="0"/>
      <w:tabs>
        <w:tab w:val="clear" w:pos="425"/>
      </w:tabs>
      <w:spacing w:before="0" w:line="240" w:lineRule="auto"/>
      <w:ind w:left="0" w:firstLine="0"/>
    </w:pPr>
    <w:rPr>
      <w:rFonts w:ascii="Times New Roman"/>
      <w:b w:val="0"/>
      <w:sz w:val="24"/>
      <w:szCs w:val="24"/>
    </w:rPr>
  </w:style>
  <w:style w:type="paragraph" w:customStyle="1" w:styleId="415">
    <w:name w:val="Char1 Char Char"/>
    <w:basedOn w:val="1"/>
    <w:qFormat/>
    <w:uiPriority w:val="0"/>
    <w:rPr>
      <w:rFonts w:ascii="Tahoma" w:hAnsi="Tahoma"/>
      <w:sz w:val="24"/>
    </w:rPr>
  </w:style>
  <w:style w:type="paragraph" w:customStyle="1" w:styleId="416">
    <w:name w:val="政务正文"/>
    <w:basedOn w:val="1"/>
    <w:qFormat/>
    <w:uiPriority w:val="0"/>
    <w:pPr>
      <w:spacing w:before="93" w:after="93" w:line="440" w:lineRule="atLeast"/>
      <w:ind w:firstLine="480" w:firstLineChars="200"/>
    </w:pPr>
    <w:rPr>
      <w:rFonts w:hint="eastAsia" w:ascii="宋体" w:hAnsi="宋体" w:cs="Arial"/>
      <w:sz w:val="24"/>
      <w:szCs w:val="21"/>
    </w:rPr>
  </w:style>
  <w:style w:type="paragraph" w:customStyle="1" w:styleId="417">
    <w:name w:val="列出段落11"/>
    <w:basedOn w:val="1"/>
    <w:qFormat/>
    <w:uiPriority w:val="34"/>
    <w:pPr>
      <w:ind w:firstLine="420" w:firstLineChars="200"/>
    </w:pPr>
    <w:rPr>
      <w:rFonts w:ascii="Calibri" w:hAnsi="Calibri"/>
      <w:szCs w:val="22"/>
    </w:rPr>
  </w:style>
  <w:style w:type="paragraph" w:customStyle="1" w:styleId="418">
    <w:name w:val="xl34"/>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color w:val="FF0000"/>
      <w:kern w:val="0"/>
      <w:sz w:val="20"/>
      <w:szCs w:val="21"/>
    </w:rPr>
  </w:style>
  <w:style w:type="paragraph" w:customStyle="1" w:styleId="41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20">
    <w:name w:val="content5"/>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1">
    <w:name w:val="并列项-点"/>
    <w:basedOn w:val="1"/>
    <w:qFormat/>
    <w:uiPriority w:val="0"/>
    <w:pPr>
      <w:widowControl/>
      <w:tabs>
        <w:tab w:val="left" w:pos="851"/>
      </w:tabs>
      <w:adjustRightInd w:val="0"/>
      <w:snapToGrid w:val="0"/>
      <w:spacing w:line="360" w:lineRule="atLeast"/>
      <w:ind w:left="900" w:hanging="420"/>
      <w:textAlignment w:val="baseline"/>
    </w:pPr>
    <w:rPr>
      <w:kern w:val="0"/>
      <w:sz w:val="24"/>
    </w:rPr>
  </w:style>
  <w:style w:type="paragraph" w:customStyle="1" w:styleId="422">
    <w:name w:val="Char Char31"/>
    <w:basedOn w:val="1"/>
    <w:qFormat/>
    <w:uiPriority w:val="0"/>
    <w:pPr>
      <w:spacing w:line="360" w:lineRule="auto"/>
      <w:ind w:firstLine="200" w:firstLineChars="200"/>
    </w:pPr>
    <w:rPr>
      <w:rFonts w:ascii="Tahoma" w:hAnsi="Tahoma"/>
      <w:sz w:val="24"/>
      <w:szCs w:val="24"/>
    </w:rPr>
  </w:style>
  <w:style w:type="paragraph" w:customStyle="1" w:styleId="423">
    <w:name w:val="xl103"/>
    <w:basedOn w:val="1"/>
    <w:qFormat/>
    <w:uiPriority w:val="0"/>
    <w:pPr>
      <w:widowControl/>
      <w:pBdr>
        <w:top w:val="single" w:color="auto" w:sz="4" w:space="0"/>
        <w:left w:val="single" w:color="auto" w:sz="4" w:space="0"/>
        <w:bottom w:val="single" w:color="auto" w:sz="4" w:space="0"/>
      </w:pBdr>
      <w:shd w:val="clear" w:color="000000" w:fill="D8D8D8"/>
      <w:spacing w:before="100" w:beforeAutospacing="1" w:after="100" w:afterAutospacing="1"/>
      <w:jc w:val="left"/>
      <w:textAlignment w:val="center"/>
    </w:pPr>
    <w:rPr>
      <w:rFonts w:ascii="宋体" w:hAnsi="宋体" w:cs="宋体"/>
      <w:color w:val="000000"/>
      <w:kern w:val="0"/>
      <w:sz w:val="24"/>
      <w:szCs w:val="24"/>
    </w:rPr>
  </w:style>
  <w:style w:type="paragraph" w:customStyle="1" w:styleId="42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25">
    <w:name w:val="样式 行距: 多倍行距 1.25 字行"/>
    <w:basedOn w:val="1"/>
    <w:qFormat/>
    <w:uiPriority w:val="0"/>
    <w:pPr>
      <w:adjustRightInd w:val="0"/>
      <w:spacing w:line="300" w:lineRule="auto"/>
      <w:ind w:firstLine="200" w:firstLineChars="200"/>
      <w:textAlignment w:val="baseline"/>
    </w:pPr>
    <w:rPr>
      <w:rFonts w:cs="宋体"/>
      <w:kern w:val="0"/>
      <w:szCs w:val="21"/>
    </w:rPr>
  </w:style>
  <w:style w:type="paragraph" w:customStyle="1" w:styleId="426">
    <w:name w:val="数字标题1"/>
    <w:basedOn w:val="2"/>
    <w:next w:val="1"/>
    <w:qFormat/>
    <w:uiPriority w:val="0"/>
    <w:pPr>
      <w:numPr>
        <w:numId w:val="0"/>
      </w:numPr>
      <w:spacing w:before="0" w:after="0" w:line="360" w:lineRule="auto"/>
      <w:ind w:firstLine="241" w:firstLineChars="100"/>
      <w:jc w:val="both"/>
    </w:pPr>
    <w:rPr>
      <w:rFonts w:ascii="宋体" w:hAnsi="宋体" w:eastAsia="宋体"/>
      <w:bCs/>
      <w:sz w:val="24"/>
      <w:szCs w:val="24"/>
    </w:rPr>
  </w:style>
  <w:style w:type="paragraph" w:customStyle="1" w:styleId="427">
    <w:name w:val="xl104"/>
    <w:basedOn w:val="1"/>
    <w:qFormat/>
    <w:uiPriority w:val="0"/>
    <w:pPr>
      <w:widowControl/>
      <w:pBdr>
        <w:top w:val="single" w:color="auto" w:sz="4" w:space="0"/>
        <w:bottom w:val="single" w:color="auto" w:sz="4" w:space="0"/>
        <w:right w:val="single" w:color="auto" w:sz="4" w:space="0"/>
      </w:pBdr>
      <w:shd w:val="clear" w:color="000000" w:fill="D8D8D8"/>
      <w:spacing w:before="100" w:beforeAutospacing="1" w:after="100" w:afterAutospacing="1"/>
      <w:jc w:val="left"/>
      <w:textAlignment w:val="center"/>
    </w:pPr>
    <w:rPr>
      <w:rFonts w:ascii="宋体" w:hAnsi="宋体" w:cs="宋体"/>
      <w:color w:val="000000"/>
      <w:kern w:val="0"/>
      <w:sz w:val="24"/>
      <w:szCs w:val="24"/>
    </w:rPr>
  </w:style>
  <w:style w:type="paragraph" w:customStyle="1" w:styleId="428">
    <w:name w:val="xl84"/>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29">
    <w:name w:val="xl66"/>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430">
    <w:name w:val="xl27"/>
    <w:basedOn w:val="1"/>
    <w:qFormat/>
    <w:uiPriority w:val="0"/>
    <w:pPr>
      <w:pBdr>
        <w:left w:val="double" w:color="auto" w:sz="6" w:space="0"/>
        <w:bottom w:val="single" w:color="auto" w:sz="4" w:space="0"/>
        <w:right w:val="single" w:color="auto" w:sz="4" w:space="0"/>
      </w:pBdr>
      <w:adjustRightInd w:val="0"/>
      <w:spacing w:before="100" w:beforeAutospacing="1" w:after="100" w:afterAutospacing="1"/>
      <w:jc w:val="center"/>
      <w:textAlignment w:val="baseline"/>
    </w:pPr>
    <w:rPr>
      <w:rFonts w:ascii="宋体" w:hAnsi="宋体"/>
      <w:kern w:val="0"/>
      <w:sz w:val="20"/>
      <w:szCs w:val="21"/>
    </w:rPr>
  </w:style>
  <w:style w:type="paragraph" w:customStyle="1" w:styleId="431">
    <w:name w:val="xl32"/>
    <w:basedOn w:val="1"/>
    <w:qFormat/>
    <w:uiPriority w:val="0"/>
    <w:pPr>
      <w:pBdr>
        <w:top w:val="single" w:color="auto" w:sz="4" w:space="0"/>
        <w:left w:val="single" w:color="auto" w:sz="4" w:space="0"/>
        <w:bottom w:val="single" w:color="auto" w:sz="4" w:space="0"/>
        <w:right w:val="single" w:color="auto" w:sz="4" w:space="0"/>
      </w:pBdr>
      <w:adjustRightInd w:val="0"/>
      <w:spacing w:before="100" w:beforeAutospacing="1" w:after="100" w:afterAutospacing="1"/>
      <w:textAlignment w:val="baseline"/>
    </w:pPr>
    <w:rPr>
      <w:rFonts w:ascii="宋体" w:hAnsi="宋体"/>
      <w:kern w:val="0"/>
      <w:sz w:val="20"/>
      <w:szCs w:val="21"/>
    </w:rPr>
  </w:style>
  <w:style w:type="paragraph" w:customStyle="1" w:styleId="432">
    <w:name w:val="标准正文"/>
    <w:basedOn w:val="23"/>
    <w:qFormat/>
    <w:uiPriority w:val="0"/>
    <w:pPr>
      <w:spacing w:before="60" w:after="60"/>
      <w:ind w:firstLine="482"/>
    </w:pPr>
    <w:rPr>
      <w:rFonts w:ascii="Times New Roman" w:hAnsi="Times New Roman"/>
    </w:rPr>
  </w:style>
  <w:style w:type="paragraph" w:customStyle="1" w:styleId="433">
    <w:name w:val="Char2 Char Char Char Char Char Char Char Char Char Char Char Char1"/>
    <w:basedOn w:val="1"/>
    <w:qFormat/>
    <w:uiPriority w:val="0"/>
    <w:pPr>
      <w:spacing w:line="360" w:lineRule="auto"/>
      <w:ind w:firstLine="200" w:firstLineChars="200"/>
    </w:pPr>
    <w:rPr>
      <w:rFonts w:ascii="Tahoma" w:hAnsi="Tahoma"/>
      <w:sz w:val="24"/>
      <w:szCs w:val="24"/>
    </w:rPr>
  </w:style>
  <w:style w:type="paragraph" w:customStyle="1" w:styleId="434">
    <w:name w:val="xl105"/>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3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szCs w:val="24"/>
    </w:rPr>
  </w:style>
  <w:style w:type="paragraph" w:customStyle="1" w:styleId="436">
    <w:name w:val="样式 图题 + Helvetica 五号 段前: 7.8 磅 段后: 7.8 磅"/>
    <w:basedOn w:val="275"/>
    <w:qFormat/>
    <w:uiPriority w:val="0"/>
    <w:pPr>
      <w:snapToGrid/>
      <w:spacing w:before="0" w:after="0"/>
    </w:pPr>
    <w:rPr>
      <w:rFonts w:ascii="Helvetica" w:hAnsi="Helvetica"/>
      <w:bCs/>
      <w:sz w:val="21"/>
    </w:rPr>
  </w:style>
  <w:style w:type="paragraph" w:customStyle="1" w:styleId="437">
    <w:name w:val="标题8"/>
    <w:basedOn w:val="10"/>
    <w:qFormat/>
    <w:uiPriority w:val="0"/>
    <w:pPr>
      <w:numPr>
        <w:ilvl w:val="0"/>
        <w:numId w:val="0"/>
      </w:numPr>
      <w:spacing w:before="0" w:after="0" w:line="360" w:lineRule="auto"/>
      <w:ind w:hanging="420" w:firstLineChars="200"/>
      <w:outlineLvl w:val="4"/>
    </w:pPr>
    <w:rPr>
      <w:rFonts w:ascii="Times New Roman" w:hAnsi="Times New Roman" w:eastAsia="宋体"/>
      <w:szCs w:val="28"/>
    </w:rPr>
  </w:style>
  <w:style w:type="paragraph" w:customStyle="1" w:styleId="438">
    <w:name w:val="xl77"/>
    <w:basedOn w:val="1"/>
    <w:qFormat/>
    <w:uiPriority w:val="0"/>
    <w:pPr>
      <w:widowControl/>
      <w:spacing w:before="100" w:beforeAutospacing="1" w:after="100" w:afterAutospacing="1"/>
      <w:jc w:val="left"/>
      <w:textAlignment w:val="center"/>
    </w:pPr>
    <w:rPr>
      <w:rFonts w:ascii="楷体_GB2312" w:hAnsi="宋体" w:eastAsia="楷体_GB2312" w:cs="宋体"/>
      <w:b/>
      <w:bCs/>
      <w:kern w:val="0"/>
      <w:sz w:val="30"/>
      <w:szCs w:val="30"/>
    </w:rPr>
  </w:style>
  <w:style w:type="paragraph" w:customStyle="1" w:styleId="439">
    <w:name w:val="xl69"/>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40">
    <w:name w:val="正文文本缩进1"/>
    <w:basedOn w:val="1"/>
    <w:qFormat/>
    <w:uiPriority w:val="0"/>
    <w:pPr>
      <w:spacing w:line="500" w:lineRule="exact"/>
      <w:ind w:left="1588" w:leftChars="832" w:firstLine="433" w:firstLineChars="196"/>
    </w:pPr>
    <w:rPr>
      <w:sz w:val="24"/>
      <w:szCs w:val="24"/>
    </w:rPr>
  </w:style>
  <w:style w:type="paragraph" w:customStyle="1" w:styleId="441">
    <w:name w:val="表文"/>
    <w:qFormat/>
    <w:uiPriority w:val="0"/>
    <w:rPr>
      <w:rFonts w:ascii="Times New Roman" w:hAnsi="Times New Roman" w:eastAsia="宋体" w:cs="Times New Roman"/>
      <w:bCs/>
      <w:sz w:val="24"/>
      <w:lang w:val="en-US" w:eastAsia="zh-CN" w:bidi="ar-SA"/>
    </w:rPr>
  </w:style>
  <w:style w:type="paragraph" w:customStyle="1" w:styleId="442">
    <w:name w:val="xl78"/>
    <w:basedOn w:val="1"/>
    <w:qFormat/>
    <w:uiPriority w:val="0"/>
    <w:pPr>
      <w:widowControl/>
      <w:spacing w:before="100" w:beforeAutospacing="1" w:after="100" w:afterAutospacing="1"/>
      <w:jc w:val="center"/>
      <w:textAlignment w:val="center"/>
    </w:pPr>
    <w:rPr>
      <w:rFonts w:ascii="楷体_GB2312" w:hAnsi="宋体" w:eastAsia="楷体_GB2312" w:cs="宋体"/>
      <w:b/>
      <w:bCs/>
      <w:kern w:val="0"/>
      <w:sz w:val="30"/>
      <w:szCs w:val="30"/>
    </w:rPr>
  </w:style>
  <w:style w:type="paragraph" w:customStyle="1" w:styleId="4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44">
    <w:name w:val="加点正文"/>
    <w:basedOn w:val="1"/>
    <w:qFormat/>
    <w:uiPriority w:val="0"/>
    <w:pPr>
      <w:numPr>
        <w:ilvl w:val="0"/>
        <w:numId w:val="13"/>
      </w:numPr>
      <w:tabs>
        <w:tab w:val="left" w:pos="420"/>
      </w:tabs>
      <w:spacing w:beforeLines="50" w:afterLines="50" w:line="300" w:lineRule="auto"/>
    </w:pPr>
    <w:rPr>
      <w:sz w:val="24"/>
      <w:szCs w:val="24"/>
    </w:rPr>
  </w:style>
  <w:style w:type="paragraph" w:customStyle="1" w:styleId="445">
    <w:name w:val="样式 正文首行缩进 + 首行缩进:  1 字符"/>
    <w:basedOn w:val="52"/>
    <w:qFormat/>
    <w:uiPriority w:val="0"/>
    <w:pPr>
      <w:adjustRightInd w:val="0"/>
      <w:spacing w:after="0" w:line="300" w:lineRule="auto"/>
      <w:ind w:firstLine="200" w:firstLineChars="200"/>
      <w:textAlignment w:val="baseline"/>
    </w:pPr>
    <w:rPr>
      <w:rFonts w:cs="宋体"/>
      <w:kern w:val="0"/>
      <w:szCs w:val="21"/>
    </w:rPr>
  </w:style>
  <w:style w:type="paragraph" w:customStyle="1" w:styleId="446">
    <w:name w:val="xl74"/>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7">
    <w:name w:val="图标号"/>
    <w:basedOn w:val="1"/>
    <w:next w:val="1"/>
    <w:qFormat/>
    <w:uiPriority w:val="0"/>
    <w:pPr>
      <w:adjustRightInd w:val="0"/>
      <w:snapToGrid w:val="0"/>
      <w:jc w:val="center"/>
      <w:textAlignment w:val="baseline"/>
    </w:pPr>
    <w:rPr>
      <w:b/>
      <w:szCs w:val="21"/>
    </w:rPr>
  </w:style>
  <w:style w:type="paragraph" w:customStyle="1" w:styleId="448">
    <w:name w:val="xl90"/>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449">
    <w:name w:val="xl76"/>
    <w:basedOn w:val="1"/>
    <w:qFormat/>
    <w:uiPriority w:val="0"/>
    <w:pPr>
      <w:widowControl/>
      <w:spacing w:before="100" w:beforeAutospacing="1" w:after="100" w:afterAutospacing="1"/>
      <w:jc w:val="center"/>
      <w:textAlignment w:val="center"/>
    </w:pPr>
    <w:rPr>
      <w:rFonts w:ascii="楷体_GB2312" w:hAnsi="宋体" w:eastAsia="楷体_GB2312" w:cs="宋体"/>
      <w:b/>
      <w:bCs/>
      <w:color w:val="000000"/>
      <w:kern w:val="0"/>
      <w:sz w:val="30"/>
      <w:szCs w:val="30"/>
    </w:rPr>
  </w:style>
  <w:style w:type="paragraph" w:customStyle="1" w:styleId="450">
    <w:name w:val="正文首行缩进1"/>
    <w:basedOn w:val="1"/>
    <w:qFormat/>
    <w:uiPriority w:val="0"/>
    <w:pPr>
      <w:adjustRightInd w:val="0"/>
      <w:spacing w:line="300" w:lineRule="auto"/>
      <w:ind w:firstLine="200" w:firstLineChars="200"/>
      <w:textAlignment w:val="baseline"/>
    </w:pPr>
    <w:rPr>
      <w:rFonts w:cs="宋体"/>
      <w:kern w:val="0"/>
      <w:szCs w:val="21"/>
    </w:rPr>
  </w:style>
  <w:style w:type="paragraph" w:customStyle="1" w:styleId="451">
    <w:name w:val="xl81"/>
    <w:basedOn w:val="1"/>
    <w:qFormat/>
    <w:uiPriority w:val="0"/>
    <w:pPr>
      <w:widowControl/>
      <w:pBdr>
        <w:top w:val="single" w:color="auto" w:sz="4" w:space="0"/>
        <w:left w:val="single" w:color="auto" w:sz="12"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52">
    <w:name w:val="表格正文+小四号"/>
    <w:basedOn w:val="1"/>
    <w:qFormat/>
    <w:uiPriority w:val="0"/>
    <w:pPr>
      <w:jc w:val="center"/>
    </w:pPr>
    <w:rPr>
      <w:sz w:val="24"/>
      <w:szCs w:val="24"/>
    </w:rPr>
  </w:style>
  <w:style w:type="paragraph" w:customStyle="1" w:styleId="453">
    <w:name w:val="xl82"/>
    <w:basedOn w:val="1"/>
    <w:qFormat/>
    <w:uiPriority w:val="0"/>
    <w:pPr>
      <w:widowControl/>
      <w:pBdr>
        <w:top w:val="single" w:color="auto" w:sz="12"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000000"/>
      <w:kern w:val="0"/>
      <w:sz w:val="24"/>
      <w:szCs w:val="24"/>
    </w:rPr>
  </w:style>
  <w:style w:type="paragraph" w:customStyle="1" w:styleId="454">
    <w:name w:val="表格正文+五号"/>
    <w:basedOn w:val="452"/>
    <w:qFormat/>
    <w:uiPriority w:val="0"/>
    <w:rPr>
      <w:rFonts w:ascii="宋体" w:hAnsi="宋体"/>
      <w:sz w:val="21"/>
      <w:szCs w:val="21"/>
    </w:rPr>
  </w:style>
  <w:style w:type="paragraph" w:customStyle="1" w:styleId="455">
    <w:name w:val="xl89"/>
    <w:basedOn w:val="1"/>
    <w:qFormat/>
    <w:uiPriority w:val="0"/>
    <w:pPr>
      <w:widowControl/>
      <w:pBdr>
        <w:top w:val="single" w:color="auto" w:sz="4" w:space="0"/>
        <w:left w:val="single" w:color="auto" w:sz="12" w:space="0"/>
        <w:bottom w:val="single" w:color="auto" w:sz="12" w:space="0"/>
        <w:right w:val="single" w:color="auto" w:sz="4" w:space="0"/>
      </w:pBdr>
      <w:spacing w:before="100" w:beforeAutospacing="1" w:after="100" w:afterAutospacing="1"/>
      <w:jc w:val="center"/>
      <w:textAlignment w:val="center"/>
    </w:pPr>
    <w:rPr>
      <w:rFonts w:ascii="宋体" w:hAnsi="宋体" w:cs="宋体"/>
      <w:color w:val="000000"/>
      <w:kern w:val="0"/>
      <w:sz w:val="24"/>
      <w:szCs w:val="24"/>
    </w:rPr>
  </w:style>
  <w:style w:type="paragraph" w:customStyle="1" w:styleId="456">
    <w:name w:val="图片"/>
    <w:basedOn w:val="1"/>
    <w:qFormat/>
    <w:uiPriority w:val="0"/>
    <w:pPr>
      <w:spacing w:beforeLines="100" w:afterLines="100"/>
      <w:jc w:val="center"/>
    </w:pPr>
    <w:rPr>
      <w:sz w:val="24"/>
      <w:szCs w:val="24"/>
    </w:rPr>
  </w:style>
  <w:style w:type="paragraph" w:customStyle="1" w:styleId="457">
    <w:name w:val="文本框正文+小四号"/>
    <w:basedOn w:val="1"/>
    <w:qFormat/>
    <w:uiPriority w:val="0"/>
    <w:pPr>
      <w:jc w:val="center"/>
    </w:pPr>
    <w:rPr>
      <w:sz w:val="24"/>
      <w:szCs w:val="24"/>
    </w:rPr>
  </w:style>
  <w:style w:type="paragraph" w:customStyle="1" w:styleId="458">
    <w:name w:val="文本框正文+五号"/>
    <w:basedOn w:val="457"/>
    <w:qFormat/>
    <w:uiPriority w:val="0"/>
    <w:rPr>
      <w:sz w:val="21"/>
      <w:szCs w:val="21"/>
    </w:rPr>
  </w:style>
  <w:style w:type="paragraph" w:customStyle="1" w:styleId="45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6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FF"/>
      <w:kern w:val="0"/>
      <w:sz w:val="24"/>
      <w:szCs w:val="24"/>
    </w:rPr>
  </w:style>
  <w:style w:type="paragraph" w:customStyle="1" w:styleId="461">
    <w:name w:val="xl79"/>
    <w:basedOn w:val="1"/>
    <w:qFormat/>
    <w:uiPriority w:val="0"/>
    <w:pPr>
      <w:widowControl/>
      <w:spacing w:before="100" w:beforeAutospacing="1" w:after="100" w:afterAutospacing="1"/>
      <w:jc w:val="right"/>
      <w:textAlignment w:val="center"/>
    </w:pPr>
    <w:rPr>
      <w:rFonts w:ascii="楷体_GB2312" w:hAnsi="宋体" w:eastAsia="楷体_GB2312" w:cs="宋体"/>
      <w:b/>
      <w:bCs/>
      <w:kern w:val="0"/>
      <w:sz w:val="30"/>
      <w:szCs w:val="30"/>
    </w:rPr>
  </w:style>
  <w:style w:type="paragraph" w:customStyle="1" w:styleId="46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63">
    <w:name w:val="Char1 Char Char Char Char Char Char Char Char Char1"/>
    <w:basedOn w:val="1"/>
    <w:qFormat/>
    <w:uiPriority w:val="0"/>
    <w:pPr>
      <w:widowControl/>
      <w:spacing w:beforeLines="100" w:after="160" w:line="240" w:lineRule="exact"/>
      <w:jc w:val="left"/>
    </w:pPr>
    <w:rPr>
      <w:rFonts w:ascii="Verdana" w:hAnsi="Verdana"/>
      <w:kern w:val="0"/>
      <w:sz w:val="20"/>
      <w:lang w:eastAsia="en-US"/>
    </w:rPr>
  </w:style>
  <w:style w:type="paragraph" w:customStyle="1" w:styleId="46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 w:val="24"/>
      <w:szCs w:val="24"/>
    </w:rPr>
  </w:style>
  <w:style w:type="paragraph" w:customStyle="1" w:styleId="46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 w:val="24"/>
      <w:szCs w:val="24"/>
    </w:rPr>
  </w:style>
  <w:style w:type="paragraph" w:customStyle="1" w:styleId="466">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6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68">
    <w:name w:val="xl91"/>
    <w:basedOn w:val="1"/>
    <w:qFormat/>
    <w:uiPriority w:val="0"/>
    <w:pPr>
      <w:widowControl/>
      <w:pBdr>
        <w:top w:val="single" w:color="auto" w:sz="4" w:space="0"/>
        <w:left w:val="single" w:color="auto" w:sz="4" w:space="0"/>
        <w:bottom w:val="single" w:color="auto" w:sz="12"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469">
    <w:name w:val="Char Char Char Char Char Char Char Char Char1 Char Char Char Char1"/>
    <w:basedOn w:val="1"/>
    <w:qFormat/>
    <w:uiPriority w:val="0"/>
    <w:rPr>
      <w:rFonts w:ascii="Tahoma" w:hAnsi="Tahoma"/>
      <w:sz w:val="24"/>
    </w:rPr>
  </w:style>
  <w:style w:type="paragraph" w:customStyle="1" w:styleId="47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471">
    <w:name w:val="默认段落字体 Para Char Char Char Char Char Char Char Char Char Char Char Char Char Char Char Char"/>
    <w:basedOn w:val="1"/>
    <w:qFormat/>
    <w:uiPriority w:val="0"/>
    <w:rPr>
      <w:szCs w:val="24"/>
    </w:rPr>
  </w:style>
  <w:style w:type="paragraph" w:customStyle="1" w:styleId="472">
    <w:name w:val="Char Char2 Char Char Char Char Char Char Char Char Char Char1"/>
    <w:basedOn w:val="1"/>
    <w:qFormat/>
    <w:uiPriority w:val="0"/>
    <w:rPr>
      <w:rFonts w:ascii="Tahoma" w:hAnsi="Tahoma"/>
      <w:sz w:val="24"/>
    </w:rPr>
  </w:style>
  <w:style w:type="paragraph" w:customStyle="1" w:styleId="473">
    <w:name w:val="列出段落2"/>
    <w:basedOn w:val="1"/>
    <w:qFormat/>
    <w:uiPriority w:val="0"/>
    <w:pPr>
      <w:ind w:firstLine="420" w:firstLineChars="200"/>
    </w:pPr>
    <w:rPr>
      <w:rFonts w:ascii="Calibri" w:hAnsi="Calibri"/>
      <w:szCs w:val="22"/>
    </w:rPr>
  </w:style>
  <w:style w:type="character" w:customStyle="1" w:styleId="474">
    <w:name w:val="列出段落 Char"/>
    <w:link w:val="331"/>
    <w:qFormat/>
    <w:uiPriority w:val="34"/>
    <w:rPr>
      <w:rFonts w:ascii="Calibri" w:hAnsi="Calibri"/>
      <w:kern w:val="2"/>
      <w:sz w:val="21"/>
      <w:szCs w:val="22"/>
    </w:rPr>
  </w:style>
  <w:style w:type="table" w:customStyle="1" w:styleId="475">
    <w:name w:val="网格型1"/>
    <w:basedOn w:val="5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6">
    <w:name w:val="at_3"/>
    <w:basedOn w:val="55"/>
    <w:qFormat/>
    <w:uiPriority w:val="0"/>
  </w:style>
  <w:style w:type="character" w:customStyle="1" w:styleId="477">
    <w:name w:val="zw1"/>
    <w:qFormat/>
    <w:uiPriority w:val="0"/>
    <w:rPr>
      <w:sz w:val="24"/>
      <w:szCs w:val="24"/>
    </w:rPr>
  </w:style>
  <w:style w:type="character" w:customStyle="1" w:styleId="478">
    <w:name w:val="style281"/>
    <w:qFormat/>
    <w:uiPriority w:val="0"/>
    <w:rPr>
      <w:color w:val="000000"/>
    </w:rPr>
  </w:style>
  <w:style w:type="character" w:customStyle="1" w:styleId="479">
    <w:name w:val="at_4"/>
    <w:basedOn w:val="55"/>
    <w:qFormat/>
    <w:uiPriority w:val="0"/>
  </w:style>
  <w:style w:type="character" w:customStyle="1" w:styleId="480">
    <w:name w:val="gray s"/>
    <w:basedOn w:val="55"/>
    <w:qFormat/>
    <w:uiPriority w:val="0"/>
  </w:style>
  <w:style w:type="character" w:customStyle="1" w:styleId="481">
    <w:name w:val="Item Step in Table Char"/>
    <w:qFormat/>
    <w:uiPriority w:val="0"/>
    <w:rPr>
      <w:rFonts w:ascii="Arial" w:hAnsi="Arial" w:cs="Arial"/>
      <w:sz w:val="18"/>
      <w:szCs w:val="18"/>
    </w:rPr>
  </w:style>
  <w:style w:type="character" w:customStyle="1" w:styleId="482">
    <w:name w:val="font01"/>
    <w:qFormat/>
    <w:uiPriority w:val="0"/>
    <w:rPr>
      <w:rFonts w:hint="eastAsia" w:ascii="宋体" w:hAnsi="宋体" w:eastAsia="宋体" w:cs="宋体"/>
      <w:color w:val="FF0000"/>
      <w:sz w:val="20"/>
      <w:szCs w:val="20"/>
      <w:u w:val="none"/>
    </w:rPr>
  </w:style>
  <w:style w:type="paragraph" w:customStyle="1" w:styleId="483">
    <w:name w:val="Aufzählung"/>
    <w:basedOn w:val="1"/>
    <w:next w:val="1"/>
    <w:qFormat/>
    <w:uiPriority w:val="0"/>
    <w:pPr>
      <w:keepLines/>
      <w:widowControl/>
      <w:numPr>
        <w:ilvl w:val="0"/>
        <w:numId w:val="14"/>
      </w:numPr>
      <w:tabs>
        <w:tab w:val="left" w:pos="113"/>
        <w:tab w:val="clear" w:pos="360"/>
      </w:tabs>
      <w:spacing w:line="228" w:lineRule="exact"/>
      <w:jc w:val="left"/>
    </w:pPr>
    <w:rPr>
      <w:rFonts w:ascii="MetaPlusLF" w:hAnsi="MetaPlusLF"/>
      <w:kern w:val="0"/>
      <w:sz w:val="15"/>
      <w:lang w:val="de-DE" w:eastAsia="de-DE"/>
    </w:rPr>
  </w:style>
  <w:style w:type="paragraph" w:customStyle="1" w:styleId="484">
    <w:name w:val="正文宋体"/>
    <w:basedOn w:val="1"/>
    <w:qFormat/>
    <w:uiPriority w:val="0"/>
    <w:pPr>
      <w:ind w:left="855"/>
      <w:jc w:val="center"/>
    </w:pPr>
    <w:rPr>
      <w:sz w:val="28"/>
      <w:szCs w:val="28"/>
    </w:rPr>
  </w:style>
  <w:style w:type="paragraph" w:customStyle="1" w:styleId="485">
    <w:name w:val="typetxt3"/>
    <w:basedOn w:val="1"/>
    <w:qFormat/>
    <w:uiPriority w:val="0"/>
    <w:pPr>
      <w:widowControl/>
      <w:spacing w:before="100" w:beforeAutospacing="1" w:after="100" w:afterAutospacing="1" w:line="263" w:lineRule="atLeast"/>
      <w:jc w:val="left"/>
    </w:pPr>
    <w:rPr>
      <w:rFonts w:ascii="Times newman" w:hAnsi="Times newman" w:cs="宋体"/>
      <w:color w:val="000000"/>
      <w:kern w:val="0"/>
      <w:sz w:val="15"/>
      <w:szCs w:val="15"/>
    </w:rPr>
  </w:style>
  <w:style w:type="paragraph" w:customStyle="1" w:styleId="486">
    <w:name w:val="Char Char"/>
    <w:basedOn w:val="1"/>
    <w:qFormat/>
    <w:uiPriority w:val="0"/>
    <w:pPr>
      <w:adjustRightInd w:val="0"/>
      <w:spacing w:line="360" w:lineRule="auto"/>
    </w:pPr>
    <w:rPr>
      <w:kern w:val="0"/>
      <w:sz w:val="24"/>
    </w:rPr>
  </w:style>
  <w:style w:type="paragraph" w:customStyle="1" w:styleId="487">
    <w:name w:val="Char Char Char Char Char Char Char Char Char Char Char Char Char Char Char Char Char Char Char Char Char Char Char Char Char Char Char Char Char Char Char Char Char1 Char Char Char Char"/>
    <w:basedOn w:val="1"/>
    <w:qFormat/>
    <w:uiPriority w:val="0"/>
    <w:pPr>
      <w:widowControl/>
      <w:snapToGrid w:val="0"/>
      <w:spacing w:before="120" w:after="160" w:line="360" w:lineRule="auto"/>
      <w:ind w:right="-360"/>
      <w:jc w:val="left"/>
    </w:pPr>
    <w:rPr>
      <w:rFonts w:ascii="Arial" w:hAnsi="Arial"/>
      <w:kern w:val="0"/>
      <w:sz w:val="24"/>
      <w:szCs w:val="24"/>
      <w:lang w:eastAsia="en-US"/>
    </w:rPr>
  </w:style>
  <w:style w:type="paragraph" w:customStyle="1" w:styleId="488">
    <w:name w:val="样式 加粗 居中 段后: 0 磅 行距: 固定值 12 磅"/>
    <w:basedOn w:val="1"/>
    <w:qFormat/>
    <w:uiPriority w:val="0"/>
    <w:pPr>
      <w:spacing w:line="200" w:lineRule="exact"/>
      <w:jc w:val="center"/>
    </w:pPr>
    <w:rPr>
      <w:bCs/>
      <w:sz w:val="18"/>
      <w:szCs w:val="18"/>
    </w:rPr>
  </w:style>
  <w:style w:type="paragraph" w:customStyle="1" w:styleId="489">
    <w:name w:val="TOC 标题11"/>
    <w:basedOn w:val="2"/>
    <w:next w:val="1"/>
    <w:qFormat/>
    <w:uiPriority w:val="39"/>
    <w:pPr>
      <w:widowControl/>
      <w:numPr>
        <w:numId w:val="0"/>
      </w:numPr>
      <w:tabs>
        <w:tab w:val="left" w:pos="480"/>
      </w:tabs>
      <w:spacing w:before="480" w:after="0" w:line="276" w:lineRule="auto"/>
      <w:jc w:val="left"/>
      <w:outlineLvl w:val="9"/>
    </w:pPr>
    <w:rPr>
      <w:rFonts w:ascii="Cambria" w:hAnsi="Cambria" w:eastAsia="宋体"/>
      <w:bCs/>
      <w:color w:val="365F91"/>
      <w:kern w:val="0"/>
      <w:sz w:val="28"/>
      <w:szCs w:val="28"/>
    </w:rPr>
  </w:style>
  <w:style w:type="paragraph" w:customStyle="1" w:styleId="490">
    <w:name w:val="p17"/>
    <w:basedOn w:val="1"/>
    <w:qFormat/>
    <w:uiPriority w:val="0"/>
    <w:pPr>
      <w:widowControl/>
    </w:pPr>
    <w:rPr>
      <w:rFonts w:ascii="宋体" w:hAnsi="宋体" w:cs="宋体"/>
      <w:kern w:val="0"/>
      <w:szCs w:val="21"/>
    </w:rPr>
  </w:style>
  <w:style w:type="paragraph" w:customStyle="1" w:styleId="491">
    <w:name w:val="功能"/>
    <w:basedOn w:val="1"/>
    <w:qFormat/>
    <w:uiPriority w:val="0"/>
    <w:pPr>
      <w:adjustRightInd w:val="0"/>
      <w:spacing w:after="120" w:line="400" w:lineRule="atLeast"/>
      <w:ind w:left="840" w:hanging="358"/>
      <w:textAlignment w:val="baseline"/>
    </w:pPr>
    <w:rPr>
      <w:kern w:val="0"/>
      <w:sz w:val="24"/>
    </w:rPr>
  </w:style>
  <w:style w:type="paragraph" w:customStyle="1" w:styleId="492">
    <w:name w:val="Char Char1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93">
    <w:name w:val="正文_180"/>
    <w:qFormat/>
    <w:uiPriority w:val="0"/>
    <w:pPr>
      <w:widowControl w:val="0"/>
      <w:jc w:val="both"/>
    </w:pPr>
    <w:rPr>
      <w:rFonts w:ascii="Calibri" w:hAnsi="Calibri" w:eastAsia="宋体" w:cs="Times New Roman"/>
      <w:kern w:val="2"/>
      <w:sz w:val="21"/>
      <w:szCs w:val="24"/>
      <w:lang w:val="en-US" w:eastAsia="zh-CN" w:bidi="ar-SA"/>
    </w:rPr>
  </w:style>
  <w:style w:type="character" w:customStyle="1" w:styleId="494">
    <w:name w:val="bumpedfont20"/>
    <w:qFormat/>
    <w:uiPriority w:val="0"/>
  </w:style>
  <w:style w:type="paragraph" w:customStyle="1" w:styleId="495">
    <w:name w:val="修订11"/>
    <w:hidden/>
    <w:unhideWhenUsed/>
    <w:qFormat/>
    <w:uiPriority w:val="99"/>
    <w:rPr>
      <w:rFonts w:ascii="Times New Roman" w:hAnsi="Times New Roman" w:eastAsia="宋体" w:cs="Times New Roman"/>
      <w:kern w:val="2"/>
      <w:sz w:val="21"/>
      <w:szCs w:val="24"/>
      <w:lang w:val="en-US" w:eastAsia="zh-CN" w:bidi="ar-SA"/>
    </w:rPr>
  </w:style>
  <w:style w:type="paragraph" w:customStyle="1" w:styleId="496">
    <w:name w:val="文"/>
    <w:basedOn w:val="1"/>
    <w:qFormat/>
    <w:uiPriority w:val="0"/>
    <w:pPr>
      <w:ind w:firstLine="480"/>
    </w:pPr>
    <w:rPr>
      <w:rFonts w:ascii="宋体" w:hAnsi="宋体"/>
    </w:rPr>
  </w:style>
  <w:style w:type="paragraph" w:customStyle="1" w:styleId="497">
    <w:name w:val="修订2"/>
    <w:hidden/>
    <w:semiHidden/>
    <w:qFormat/>
    <w:uiPriority w:val="99"/>
    <w:rPr>
      <w:rFonts w:ascii="Times New Roman" w:hAnsi="Times New Roman" w:eastAsia="宋体" w:cs="Times New Roman"/>
      <w:kern w:val="2"/>
      <w:sz w:val="21"/>
      <w:lang w:val="en-US" w:eastAsia="zh-CN" w:bidi="ar-SA"/>
    </w:rPr>
  </w:style>
  <w:style w:type="paragraph" w:customStyle="1" w:styleId="498">
    <w:name w:val="修订3"/>
    <w:hidden/>
    <w:semiHidden/>
    <w:qFormat/>
    <w:uiPriority w:val="99"/>
    <w:rPr>
      <w:rFonts w:ascii="Times New Roman" w:hAnsi="Times New Roman" w:eastAsia="宋体" w:cs="Times New Roman"/>
      <w:kern w:val="2"/>
      <w:sz w:val="21"/>
      <w:lang w:val="en-US" w:eastAsia="zh-CN" w:bidi="ar-SA"/>
    </w:rPr>
  </w:style>
  <w:style w:type="paragraph" w:customStyle="1" w:styleId="499">
    <w:name w:val="Table Paragraph"/>
    <w:basedOn w:val="1"/>
    <w:qFormat/>
    <w:uiPriority w:val="1"/>
  </w:style>
  <w:style w:type="paragraph" w:customStyle="1" w:styleId="500">
    <w:name w:val="null3"/>
    <w:hidden/>
    <w:qFormat/>
    <w:uiPriority w:val="0"/>
    <w:rPr>
      <w:rFonts w:hint="eastAsia" w:asciiTheme="minorHAnsi" w:hAnsiTheme="minorHAnsi" w:eastAsiaTheme="minorEastAsia" w:cstheme="minorBidi"/>
      <w:lang w:val="en-US" w:eastAsia="zh-CN" w:bidi="ar-SA"/>
    </w:rPr>
  </w:style>
  <w:style w:type="table" w:customStyle="1" w:styleId="50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58</Pages>
  <Words>5488</Words>
  <Characters>5890</Characters>
  <Lines>315</Lines>
  <Paragraphs>88</Paragraphs>
  <TotalTime>0</TotalTime>
  <ScaleCrop>false</ScaleCrop>
  <LinksUpToDate>false</LinksUpToDate>
  <CharactersWithSpaces>5937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2025-03-21T11:57:00Z</dcterms:created>
  <dc:creator>Administrator</dc:creator>
  <cp:lastModifiedBy>owidyd</cp:lastModifiedBy>
  <cp:lastPrinted>2026-06-15T01:43:00Z</cp:lastPrinted>
  <dcterms:modified xsi:type="dcterms:W3CDTF">2026-06-23T02:34:46Z</dcterms:modified>
  <dc:title>福州市政府采购</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88953E138C1A435F96F9EBC370C44AC8_13</vt:lpwstr>
  </property>
  <property fmtid="{D5CDD505-2E9C-101B-9397-08002B2CF9AE}" pid="4" name="KSOTemplateDocerSaveRecord">
    <vt:lpwstr>eyJoZGlkIjoiMTg2MDA3NTE4ZDg0ODIzZjZlNDI5ZWU4YmQyMmM4ZjEiLCJ1c2VySWQiOiI2NzY4MDQ5NzkifQ==</vt:lpwstr>
  </property>
</Properties>
</file>